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pict>
          <v:line id="直接连接符 73" o:spid="_x0000_s1027"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党政机关办公场所物业服务管理规范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 </w:t>
      </w:r>
      <w:r>
        <w:rPr>
          <w:rFonts w:ascii="黑体" w:hAnsi="黑体" w:eastAsia="黑体"/>
          <w:szCs w:val="28"/>
        </w:rPr>
        <w:t>Management Specifications for Property Services in Office Areas of Party and Government Organs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sz w:val="28"/>
        </w:rPr>
        <w:t>湖北省市场监督管理局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pict>
          <v:line id="直接连接符 5" o:spid="_x0000_s1026"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pPr>
        <w:pStyle w:val="91"/>
        <w:spacing w:after="468"/>
      </w:pPr>
      <w:bookmarkStart w:id="21" w:name="BookMark1"/>
      <w:bookmarkStart w:id="22" w:name="_Toc155991653"/>
      <w:bookmarkStart w:id="23" w:name="_Toc155102938"/>
      <w:bookmarkStart w:id="24" w:name="_Toc133224173"/>
      <w:bookmarkStart w:id="25" w:name="_Toc155102542"/>
      <w:bookmarkStart w:id="26" w:name="_Toc132207976"/>
      <w:bookmarkStart w:id="27" w:name="_Toc132275427"/>
      <w:bookmarkStart w:id="28" w:name="_Toc133224282"/>
      <w:bookmarkStart w:id="29" w:name="_Toc132119236"/>
      <w:bookmarkStart w:id="30" w:name="_Toc13212109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"_Toc156071629" </w:instrText>
      </w:r>
      <w:r>
        <w:fldChar w:fldCharType="separate"/>
      </w:r>
      <w:r>
        <w:rPr>
          <w:rStyle w:val="32"/>
        </w:rPr>
        <w:t>前言</w:t>
      </w:r>
      <w:r>
        <w:tab/>
      </w:r>
      <w:r>
        <w:fldChar w:fldCharType="begin"/>
      </w:r>
      <w:r>
        <w:instrText xml:space="preserve"> PAGEREF _Toc156071629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"_Toc156071630" </w:instrText>
      </w:r>
      <w:r>
        <w:fldChar w:fldCharType="separate"/>
      </w:r>
      <w:r>
        <w:rPr>
          <w:rStyle w:val="32"/>
        </w:rPr>
        <w:t>1  范围</w:t>
      </w:r>
      <w:r>
        <w:tab/>
      </w:r>
      <w:r>
        <w:fldChar w:fldCharType="begin"/>
      </w:r>
      <w:r>
        <w:instrText xml:space="preserve"> PAGEREF _Toc156071630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"_Toc156071631" </w:instrText>
      </w:r>
      <w:r>
        <w:fldChar w:fldCharType="separate"/>
      </w:r>
      <w:r>
        <w:rPr>
          <w:rStyle w:val="32"/>
        </w:rPr>
        <w:t>2  规范性引用文件</w:t>
      </w:r>
      <w:r>
        <w:tab/>
      </w:r>
      <w:r>
        <w:fldChar w:fldCharType="begin"/>
      </w:r>
      <w:r>
        <w:instrText xml:space="preserve"> PAGEREF _Toc156071631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"_Toc156071632" </w:instrText>
      </w:r>
      <w:r>
        <w:fldChar w:fldCharType="separate"/>
      </w:r>
      <w:r>
        <w:rPr>
          <w:rStyle w:val="32"/>
        </w:rPr>
        <w:t>3  术语和定义</w:t>
      </w:r>
      <w:r>
        <w:tab/>
      </w:r>
      <w:r>
        <w:fldChar w:fldCharType="begin"/>
      </w:r>
      <w:r>
        <w:instrText xml:space="preserve"> PAGEREF _Toc156071632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"_Toc156071633" </w:instrText>
      </w:r>
      <w:r>
        <w:fldChar w:fldCharType="separate"/>
      </w:r>
      <w:r>
        <w:rPr>
          <w:rStyle w:val="32"/>
        </w:rPr>
        <w:t>4  基本要求</w:t>
      </w:r>
      <w:r>
        <w:tab/>
      </w:r>
      <w:r>
        <w:fldChar w:fldCharType="begin"/>
      </w:r>
      <w:r>
        <w:instrText xml:space="preserve"> PAGEREF _Toc156071633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"_Toc156071634" </w:instrText>
      </w:r>
      <w:r>
        <w:fldChar w:fldCharType="separate"/>
      </w:r>
      <w:r>
        <w:rPr>
          <w:rStyle w:val="32"/>
        </w:rPr>
        <w:t>5  客户服务</w:t>
      </w:r>
      <w:r>
        <w:tab/>
      </w:r>
      <w:r>
        <w:fldChar w:fldCharType="begin"/>
      </w:r>
      <w:r>
        <w:instrText xml:space="preserve"> PAGEREF _Toc156071634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"_Toc156071635" </w:instrText>
      </w:r>
      <w:r>
        <w:fldChar w:fldCharType="separate"/>
      </w:r>
      <w:r>
        <w:rPr>
          <w:rStyle w:val="32"/>
        </w:rPr>
        <w:t>6  保洁服务</w:t>
      </w:r>
      <w:r>
        <w:tab/>
      </w:r>
      <w:r>
        <w:fldChar w:fldCharType="begin"/>
      </w:r>
      <w:r>
        <w:instrText xml:space="preserve"> PAGEREF _Toc156071635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"_Toc156071636" </w:instrText>
      </w:r>
      <w:r>
        <w:fldChar w:fldCharType="separate"/>
      </w:r>
      <w:r>
        <w:rPr>
          <w:rStyle w:val="32"/>
        </w:rPr>
        <w:t>7  维保服务</w:t>
      </w:r>
      <w:r>
        <w:tab/>
      </w:r>
      <w:r>
        <w:fldChar w:fldCharType="begin"/>
      </w:r>
      <w:r>
        <w:instrText xml:space="preserve"> PAGEREF _Toc156071636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"_Toc156071637" </w:instrText>
      </w:r>
      <w:r>
        <w:fldChar w:fldCharType="separate"/>
      </w:r>
      <w:r>
        <w:rPr>
          <w:rStyle w:val="32"/>
        </w:rPr>
        <w:t>8  会务服务</w:t>
      </w:r>
      <w:r>
        <w:tab/>
      </w:r>
      <w:r>
        <w:fldChar w:fldCharType="begin"/>
      </w:r>
      <w:r>
        <w:instrText xml:space="preserve"> PAGEREF _Toc156071637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"_Toc156071638" </w:instrText>
      </w:r>
      <w:r>
        <w:fldChar w:fldCharType="separate"/>
      </w:r>
      <w:r>
        <w:rPr>
          <w:rStyle w:val="32"/>
        </w:rPr>
        <w:t>9  应急处置消防安全管理</w:t>
      </w:r>
      <w:r>
        <w:tab/>
      </w:r>
      <w:r>
        <w:fldChar w:fldCharType="begin"/>
      </w:r>
      <w:r>
        <w:instrText xml:space="preserve"> PAGEREF _Toc156071638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"_Toc156071639" </w:instrText>
      </w:r>
      <w:r>
        <w:fldChar w:fldCharType="separate"/>
      </w:r>
      <w:r>
        <w:rPr>
          <w:rStyle w:val="32"/>
        </w:rPr>
        <w:t>10  信息化服务</w:t>
      </w:r>
      <w:r>
        <w:tab/>
      </w:r>
      <w:r>
        <w:fldChar w:fldCharType="begin"/>
      </w:r>
      <w:r>
        <w:instrText xml:space="preserve"> PAGEREF _Toc156071639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"_Toc156071640" </w:instrText>
      </w:r>
      <w:r>
        <w:fldChar w:fldCharType="separate"/>
      </w:r>
      <w:r>
        <w:rPr>
          <w:rStyle w:val="32"/>
        </w:rPr>
        <w:t>11  监督与管理</w:t>
      </w:r>
      <w:r>
        <w:tab/>
      </w:r>
      <w:r>
        <w:fldChar w:fldCharType="begin"/>
      </w:r>
      <w:r>
        <w:instrText xml:space="preserve"> PAGEREF _Toc156071640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"_Toc156071641" </w:instrText>
      </w:r>
      <w:r>
        <w:fldChar w:fldCharType="separate"/>
      </w:r>
      <w:r>
        <w:rPr>
          <w:rStyle w:val="32"/>
        </w:rPr>
        <w:t>附录A（资料性）  党政机关物业服务满意情况调查表</w:t>
      </w:r>
      <w:r>
        <w:tab/>
      </w:r>
      <w:r>
        <w:fldChar w:fldCharType="begin"/>
      </w:r>
      <w:r>
        <w:instrText xml:space="preserve"> PAGEREF _Toc156071641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"_Toc156071642" </w:instrText>
      </w:r>
      <w:r>
        <w:fldChar w:fldCharType="separate"/>
      </w:r>
      <w:r>
        <w:rPr>
          <w:rStyle w:val="32"/>
        </w:rPr>
        <w:t>参  考 文 献</w:t>
      </w:r>
      <w:r>
        <w:tab/>
      </w:r>
      <w:r>
        <w:fldChar w:fldCharType="begin"/>
      </w:r>
      <w:r>
        <w:instrText xml:space="preserve"> PAGEREF _Toc156071642 \h </w:instrText>
      </w:r>
      <w:r>
        <w:fldChar w:fldCharType="separate"/>
      </w:r>
      <w:r>
        <w:t>8</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31" w:name="_Toc156071629"/>
      <w:bookmarkStart w:id="32" w:name="BookMark2"/>
      <w:r>
        <w:rPr>
          <w:spacing w:val="320"/>
        </w:rPr>
        <w:t>前</w:t>
      </w:r>
      <w:r>
        <w:t>言</w:t>
      </w:r>
      <w:bookmarkEnd w:id="22"/>
      <w:bookmarkEnd w:id="23"/>
      <w:bookmarkEnd w:id="24"/>
      <w:bookmarkEnd w:id="25"/>
      <w:bookmarkEnd w:id="26"/>
      <w:bookmarkEnd w:id="27"/>
      <w:bookmarkEnd w:id="28"/>
      <w:bookmarkEnd w:id="29"/>
      <w:bookmarkEnd w:id="30"/>
      <w:bookmarkEnd w:id="3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本文件由湖北省机关事务管理局提出并归口。</w:t>
      </w:r>
    </w:p>
    <w:p>
      <w:pPr>
        <w:pStyle w:val="56"/>
        <w:ind w:firstLine="420"/>
      </w:pPr>
      <w:r>
        <w:rPr>
          <w:rFonts w:hint="eastAsia"/>
        </w:rPr>
        <w:t>本文件起草单位：鄂州市机关事务服务中心、湖北省标准化与质量研究院。</w:t>
      </w:r>
    </w:p>
    <w:p>
      <w:pPr>
        <w:pStyle w:val="56"/>
        <w:ind w:firstLine="420"/>
      </w:pPr>
      <w:r>
        <w:rPr>
          <w:rFonts w:hint="eastAsia"/>
        </w:rPr>
        <w:t>本文件主要起草人：</w:t>
      </w:r>
    </w:p>
    <w:p>
      <w:pPr>
        <w:pStyle w:val="56"/>
        <w:ind w:firstLine="420"/>
      </w:pPr>
      <w:r>
        <w:rPr>
          <w:rFonts w:hint="eastAsia"/>
        </w:rPr>
        <w:t>本文件实施应用中的疑问，可咨询鄂州市机关事务服务中心，联系电话：</w:t>
      </w:r>
      <w:r>
        <w:rPr>
          <w:rFonts w:hint="eastAsia"/>
          <w:lang w:val="en-US" w:eastAsia="zh-CN"/>
        </w:rPr>
        <w:t xml:space="preserve">       </w:t>
      </w:r>
      <w:bookmarkStart w:id="165" w:name="_GoBack"/>
      <w:bookmarkEnd w:id="165"/>
      <w:r>
        <w:rPr>
          <w:rFonts w:hint="eastAsia"/>
          <w:lang w:val="en-US" w:eastAsia="zh-CN"/>
        </w:rPr>
        <w:t xml:space="preserve"> </w:t>
      </w:r>
      <w:r>
        <w:rPr>
          <w:rFonts w:hint="eastAsia"/>
        </w:rPr>
        <w:t>；对本文件的有关修改意见建议请反馈至，联系电话：</w:t>
      </w:r>
      <w:r>
        <w:rPr>
          <w:rFonts w:hint="eastAsia"/>
          <w:lang w:val="en-US" w:eastAsia="zh-CN"/>
        </w:rPr>
        <w:t xml:space="preserve">          </w:t>
      </w:r>
      <w:r>
        <w:rPr>
          <w:rFonts w:hint="eastAsia"/>
        </w:rPr>
        <w:t>。</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32"/>
    <w:p>
      <w:pPr>
        <w:spacing w:line="20" w:lineRule="exact"/>
        <w:jc w:val="center"/>
        <w:rPr>
          <w:rFonts w:ascii="黑体" w:hAnsi="黑体" w:eastAsia="黑体"/>
          <w:sz w:val="32"/>
          <w:szCs w:val="32"/>
        </w:rPr>
      </w:pPr>
      <w:bookmarkStart w:id="33" w:name="BookMark4"/>
    </w:p>
    <w:p>
      <w:pPr>
        <w:spacing w:line="20" w:lineRule="exact"/>
        <w:jc w:val="center"/>
        <w:rPr>
          <w:rFonts w:ascii="黑体" w:hAnsi="黑体" w:eastAsia="黑体"/>
          <w:sz w:val="32"/>
          <w:szCs w:val="32"/>
        </w:rPr>
      </w:pPr>
    </w:p>
    <w:sdt>
      <w:sdtPr>
        <w:tag w:val="NEW_STAND_NAME"/>
        <w:id w:val="595910757"/>
        <w:lock w:val="sdtLocked"/>
        <w:placeholder>
          <w:docPart w:val="925EFE2977E44187BFCD0989A0C281ED"/>
        </w:placeholder>
      </w:sdtPr>
      <w:sdtContent>
        <w:p>
          <w:pPr>
            <w:pStyle w:val="177"/>
            <w:spacing w:before="3" w:beforeLines="1" w:after="686" w:afterLines="220"/>
          </w:pPr>
          <w:bookmarkStart w:id="34" w:name="NEW_STAND_NAME"/>
          <w:r>
            <w:rPr>
              <w:rFonts w:hint="eastAsia"/>
            </w:rPr>
            <w:t>党政机关办公场所物业服务管理规范</w:t>
          </w:r>
        </w:p>
      </w:sdtContent>
    </w:sdt>
    <w:bookmarkEnd w:id="34"/>
    <w:p>
      <w:pPr>
        <w:pStyle w:val="104"/>
        <w:spacing w:before="312" w:after="312"/>
      </w:pPr>
      <w:bookmarkStart w:id="35" w:name="_Toc26648465"/>
      <w:bookmarkStart w:id="36" w:name="_Toc26986771"/>
      <w:bookmarkStart w:id="37" w:name="_Toc132207977"/>
      <w:bookmarkStart w:id="38" w:name="_Toc17233333"/>
      <w:bookmarkStart w:id="39" w:name="_Toc132101788"/>
      <w:bookmarkStart w:id="40" w:name="_Toc132119237"/>
      <w:bookmarkStart w:id="41" w:name="_Toc24884211"/>
      <w:bookmarkStart w:id="42" w:name="_Toc155991654"/>
      <w:bookmarkStart w:id="43" w:name="_Toc24884218"/>
      <w:bookmarkStart w:id="44" w:name="_Toc156071630"/>
      <w:bookmarkStart w:id="45" w:name="_Toc133224283"/>
      <w:bookmarkStart w:id="46" w:name="_Toc132275428"/>
      <w:bookmarkStart w:id="47" w:name="_Toc155102543"/>
      <w:bookmarkStart w:id="48" w:name="_Toc17233325"/>
      <w:bookmarkStart w:id="49" w:name="_Toc26718930"/>
      <w:bookmarkStart w:id="50" w:name="_Toc133224174"/>
      <w:bookmarkStart w:id="51" w:name="_Toc155102939"/>
      <w:bookmarkStart w:id="52" w:name="_Toc26986530"/>
      <w:bookmarkStart w:id="53" w:name="_Toc132121091"/>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56"/>
        <w:ind w:firstLine="420"/>
      </w:pPr>
      <w:bookmarkStart w:id="54" w:name="_Toc24884212"/>
      <w:bookmarkStart w:id="55" w:name="_Toc17233334"/>
      <w:bookmarkStart w:id="56" w:name="_Toc26648466"/>
      <w:bookmarkStart w:id="57" w:name="_Toc17233326"/>
      <w:bookmarkStart w:id="58" w:name="_Toc24884219"/>
      <w:r>
        <w:rPr>
          <w:rFonts w:hint="eastAsia"/>
        </w:rPr>
        <w:t>本文件规定了党政机关办公场所物业服务质量管理的基本要求及公共秩序维护、环境卫生和绿化养护、房屋与设施设备管理、会务服务、应急安全管理、信息化管理等服务要求，以及服务监督与改进的要求。</w:t>
      </w:r>
    </w:p>
    <w:p>
      <w:pPr>
        <w:pStyle w:val="56"/>
        <w:ind w:firstLine="420"/>
      </w:pPr>
      <w:r>
        <w:rPr>
          <w:rFonts w:hint="eastAsia"/>
        </w:rPr>
        <w:t>本文件适用于全省党政机关办公场所物业服务管理。</w:t>
      </w:r>
    </w:p>
    <w:p>
      <w:pPr>
        <w:pStyle w:val="104"/>
        <w:spacing w:before="312" w:after="312"/>
      </w:pPr>
      <w:bookmarkStart w:id="59" w:name="_Toc26986531"/>
      <w:bookmarkStart w:id="60" w:name="_Toc133224284"/>
      <w:bookmarkStart w:id="61" w:name="_Toc132207978"/>
      <w:bookmarkStart w:id="62" w:name="_Toc26986772"/>
      <w:bookmarkStart w:id="63" w:name="_Toc132121092"/>
      <w:bookmarkStart w:id="64" w:name="_Toc155102544"/>
      <w:bookmarkStart w:id="65" w:name="_Toc132275429"/>
      <w:bookmarkStart w:id="66" w:name="_Toc26718931"/>
      <w:bookmarkStart w:id="67" w:name="_Toc133224175"/>
      <w:bookmarkStart w:id="68" w:name="_Toc155991655"/>
      <w:bookmarkStart w:id="69" w:name="_Toc156071631"/>
      <w:bookmarkStart w:id="70" w:name="_Toc132119238"/>
      <w:bookmarkStart w:id="71" w:name="_Toc132101789"/>
      <w:bookmarkStart w:id="72" w:name="_Toc155102940"/>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dt>
      <w:sdtPr>
        <w:rPr>
          <w:rFonts w:hint="eastAsia"/>
        </w:rPr>
        <w:id w:val="715848253"/>
        <w:placeholder>
          <w:docPart w:val="0440F955DF534939A2BB0E596D93E3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t xml:space="preserve">GB 25506  </w:t>
      </w:r>
      <w:r>
        <w:rPr>
          <w:rFonts w:hint="eastAsia"/>
        </w:rPr>
        <w:t>消防控制室通用技术要求</w:t>
      </w:r>
    </w:p>
    <w:p>
      <w:pPr>
        <w:pStyle w:val="56"/>
        <w:ind w:firstLine="420"/>
      </w:pPr>
      <w:r>
        <w:t xml:space="preserve">GB/T 40248 </w:t>
      </w:r>
      <w:r>
        <w:rPr>
          <w:rFonts w:hint="eastAsia"/>
        </w:rPr>
        <w:t>人员密集场所消防安全管理</w:t>
      </w:r>
    </w:p>
    <w:p>
      <w:pPr>
        <w:pStyle w:val="56"/>
        <w:ind w:firstLine="420"/>
      </w:pPr>
      <w:r>
        <w:t xml:space="preserve">GB/T 18883 </w:t>
      </w:r>
      <w:r>
        <w:rPr>
          <w:rFonts w:hint="eastAsia"/>
        </w:rPr>
        <w:t>室内空气质量标准</w:t>
      </w:r>
    </w:p>
    <w:p>
      <w:pPr>
        <w:pStyle w:val="56"/>
        <w:ind w:firstLine="420"/>
      </w:pPr>
      <w:r>
        <w:rPr>
          <w:rFonts w:hint="eastAsia"/>
        </w:rPr>
        <w:t>DB42</w:t>
      </w:r>
      <w:r>
        <w:t>/</w:t>
      </w:r>
      <w:r>
        <w:rPr>
          <w:rFonts w:hint="eastAsia"/>
        </w:rPr>
        <w:t>T 1487</w:t>
      </w:r>
      <w:r>
        <w:t xml:space="preserve"> </w:t>
      </w:r>
      <w:r>
        <w:rPr>
          <w:rFonts w:hint="eastAsia"/>
        </w:rPr>
        <w:t>党政机关会议服务管理规范</w:t>
      </w:r>
    </w:p>
    <w:p>
      <w:pPr>
        <w:pStyle w:val="56"/>
        <w:ind w:firstLine="420"/>
      </w:pPr>
      <w:r>
        <w:rPr>
          <w:rFonts w:hint="eastAsia"/>
        </w:rPr>
        <w:t>GB/T 19012 质量管理 顾客满意 组织投诉处理指南</w:t>
      </w:r>
    </w:p>
    <w:p>
      <w:pPr>
        <w:pStyle w:val="104"/>
        <w:spacing w:before="312" w:after="312"/>
      </w:pPr>
      <w:bookmarkStart w:id="73" w:name="_Toc155102545"/>
      <w:bookmarkStart w:id="74" w:name="_Toc132119239"/>
      <w:bookmarkStart w:id="75" w:name="_Toc132121093"/>
      <w:bookmarkStart w:id="76" w:name="_Toc156071632"/>
      <w:bookmarkStart w:id="77" w:name="_Toc132275430"/>
      <w:bookmarkStart w:id="78" w:name="_Toc132207979"/>
      <w:bookmarkStart w:id="79" w:name="_Toc155991656"/>
      <w:bookmarkStart w:id="80" w:name="_Toc133224285"/>
      <w:bookmarkStart w:id="81" w:name="_Toc132101790"/>
      <w:bookmarkStart w:id="82" w:name="_Toc155102941"/>
      <w:bookmarkStart w:id="83" w:name="_Toc133224176"/>
      <w:r>
        <w:rPr>
          <w:rFonts w:hint="eastAsia"/>
          <w:szCs w:val="21"/>
        </w:rPr>
        <w:t>术语和定义</w:t>
      </w:r>
      <w:bookmarkEnd w:id="73"/>
      <w:bookmarkEnd w:id="74"/>
      <w:bookmarkEnd w:id="75"/>
      <w:bookmarkEnd w:id="76"/>
      <w:bookmarkEnd w:id="77"/>
      <w:bookmarkEnd w:id="78"/>
      <w:bookmarkEnd w:id="79"/>
      <w:bookmarkEnd w:id="80"/>
      <w:bookmarkEnd w:id="81"/>
      <w:bookmarkEnd w:id="82"/>
      <w:bookmarkEnd w:id="83"/>
    </w:p>
    <w:sdt>
      <w:sdtPr>
        <w:id w:val="-1909835108"/>
        <w:placeholder>
          <w:docPart w:val="E037DED407C1430BAAE1BD2FA02024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84" w:name="_Toc26986532"/>
          <w:bookmarkEnd w:id="84"/>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p>
    <w:p>
      <w:pPr>
        <w:pStyle w:val="162"/>
        <w:numPr>
          <w:ilvl w:val="0"/>
          <w:numId w:val="0"/>
        </w:numPr>
        <w:ind w:firstLine="420" w:firstLineChars="200"/>
        <w:rPr>
          <w:rFonts w:ascii="黑体" w:hAnsi="黑体" w:eastAsia="黑体"/>
        </w:rPr>
      </w:pPr>
      <w:r>
        <w:rPr>
          <w:rFonts w:hint="eastAsia" w:ascii="黑体" w:hAnsi="黑体" w:eastAsia="黑体"/>
        </w:rPr>
        <w:t xml:space="preserve">党政机关办公场所 </w:t>
      </w:r>
      <w:r>
        <w:rPr>
          <w:rFonts w:ascii="黑体" w:hAnsi="黑体" w:eastAsia="黑体"/>
        </w:rPr>
        <w:t xml:space="preserve"> o</w:t>
      </w:r>
      <w:r>
        <w:rPr>
          <w:rFonts w:hint="eastAsia" w:ascii="黑体" w:hAnsi="黑体" w:eastAsia="黑体"/>
        </w:rPr>
        <w:t>ffice</w:t>
      </w:r>
      <w:r>
        <w:rPr>
          <w:rFonts w:ascii="黑体" w:hAnsi="黑体" w:eastAsia="黑体"/>
        </w:rPr>
        <w:t xml:space="preserve"> area of Party and government organs</w:t>
      </w:r>
    </w:p>
    <w:p>
      <w:pPr>
        <w:pStyle w:val="162"/>
        <w:numPr>
          <w:ilvl w:val="0"/>
          <w:numId w:val="0"/>
        </w:numPr>
        <w:ind w:firstLine="420" w:firstLineChars="200"/>
        <w:rPr>
          <w:rFonts w:hAnsi="宋体"/>
        </w:rPr>
      </w:pPr>
      <w:r>
        <w:rPr>
          <w:rFonts w:hint="eastAsia" w:hAnsi="宋体"/>
        </w:rPr>
        <w:t>党政机关（包括党委、人大、政府、政协、审判、检察机关、各民主党派和工商联、参照公务员法管理的人民团体、群众团体、事业单位）用于办公的场所。</w:t>
      </w:r>
    </w:p>
    <w:p>
      <w:pPr>
        <w:pStyle w:val="162"/>
      </w:pPr>
    </w:p>
    <w:p>
      <w:pPr>
        <w:pStyle w:val="162"/>
        <w:numPr>
          <w:ilvl w:val="0"/>
          <w:numId w:val="0"/>
        </w:numPr>
        <w:ind w:firstLine="420" w:firstLineChars="200"/>
        <w:rPr>
          <w:rFonts w:ascii="黑体" w:hAnsi="黑体" w:eastAsia="黑体"/>
        </w:rPr>
      </w:pPr>
      <w:r>
        <w:rPr>
          <w:rFonts w:hint="eastAsia" w:ascii="黑体" w:hAnsi="黑体" w:eastAsia="黑体"/>
        </w:rPr>
        <w:t>物业服务</w:t>
      </w:r>
      <w:r>
        <w:rPr>
          <w:rFonts w:hint="eastAsia"/>
        </w:rPr>
        <w:t xml:space="preserve"> </w:t>
      </w:r>
      <w:r>
        <w:rPr>
          <w:rFonts w:ascii="黑体" w:hAnsi="黑体" w:eastAsia="黑体"/>
        </w:rPr>
        <w:t>property services</w:t>
      </w:r>
    </w:p>
    <w:p>
      <w:pPr>
        <w:pStyle w:val="162"/>
        <w:numPr>
          <w:ilvl w:val="0"/>
          <w:numId w:val="0"/>
        </w:numPr>
        <w:ind w:firstLine="420" w:firstLineChars="200"/>
        <w:rPr>
          <w:rFonts w:hAnsi="宋体"/>
        </w:rPr>
      </w:pPr>
      <w:r>
        <w:rPr>
          <w:rFonts w:hint="eastAsia" w:hAnsi="宋体"/>
        </w:rPr>
        <w:t>对管理区域内的建筑物、构筑物及其配套设施设备和相关场地进行维修、养护和管理，维护物业管理区域的卫生环境、公共秩序的活动。</w:t>
      </w:r>
    </w:p>
    <w:p>
      <w:pPr>
        <w:pStyle w:val="104"/>
        <w:spacing w:before="312" w:after="312"/>
      </w:pPr>
      <w:bookmarkStart w:id="85" w:name="_Toc155102942"/>
      <w:bookmarkStart w:id="86" w:name="_Toc156071633"/>
      <w:bookmarkStart w:id="87" w:name="_Toc155102546"/>
      <w:bookmarkStart w:id="88" w:name="_Toc133224286"/>
      <w:bookmarkStart w:id="89" w:name="_Toc132275431"/>
      <w:bookmarkStart w:id="90" w:name="_Toc133224177"/>
      <w:bookmarkStart w:id="91" w:name="_Toc132207980"/>
      <w:bookmarkStart w:id="92" w:name="_Toc155991657"/>
      <w:bookmarkStart w:id="93" w:name="_Toc132119240"/>
      <w:bookmarkStart w:id="94" w:name="_Toc132121094"/>
      <w:bookmarkStart w:id="95" w:name="_Toc132101791"/>
      <w:r>
        <w:rPr>
          <w:rFonts w:hint="eastAsia"/>
        </w:rPr>
        <w:t>基本要求</w:t>
      </w:r>
      <w:bookmarkEnd w:id="85"/>
      <w:bookmarkEnd w:id="86"/>
      <w:bookmarkEnd w:id="87"/>
      <w:bookmarkEnd w:id="88"/>
      <w:bookmarkEnd w:id="89"/>
      <w:bookmarkEnd w:id="90"/>
      <w:bookmarkEnd w:id="91"/>
      <w:bookmarkEnd w:id="92"/>
      <w:bookmarkEnd w:id="93"/>
      <w:bookmarkEnd w:id="94"/>
      <w:bookmarkEnd w:id="95"/>
    </w:p>
    <w:p>
      <w:pPr>
        <w:pStyle w:val="105"/>
        <w:spacing w:before="156" w:after="156"/>
        <w:ind w:left="0"/>
      </w:pPr>
      <w:r>
        <w:rPr>
          <w:rFonts w:hint="eastAsia"/>
        </w:rPr>
        <w:t>机构要求</w:t>
      </w:r>
    </w:p>
    <w:p>
      <w:pPr>
        <w:pStyle w:val="165"/>
      </w:pPr>
      <w:r>
        <w:rPr>
          <w:rFonts w:hint="eastAsia"/>
        </w:rPr>
        <w:t>应建立包括服务方案、岗位职责、工作流程、内控管理等较为完善的规章制度。</w:t>
      </w:r>
    </w:p>
    <w:p>
      <w:pPr>
        <w:pStyle w:val="165"/>
      </w:pPr>
      <w:r>
        <w:rPr>
          <w:rFonts w:hint="eastAsia"/>
        </w:rPr>
        <w:t>应服从物业使用单位或管理单位的监督管理。</w:t>
      </w:r>
    </w:p>
    <w:p>
      <w:pPr>
        <w:pStyle w:val="165"/>
      </w:pPr>
      <w:r>
        <w:rPr>
          <w:rFonts w:hint="eastAsia"/>
        </w:rPr>
        <w:t>应具备一定的综合管理和突发事件的应急协调处置能力。</w:t>
      </w:r>
    </w:p>
    <w:p>
      <w:pPr>
        <w:pStyle w:val="165"/>
      </w:pPr>
      <w:r>
        <w:rPr>
          <w:rFonts w:hint="eastAsia"/>
        </w:rPr>
        <w:t>有特定要求的物业服务，应委托专业的服务机构提供，包括但不限于以下：</w:t>
      </w:r>
    </w:p>
    <w:p>
      <w:pPr>
        <w:pStyle w:val="132"/>
      </w:pPr>
      <w:r>
        <w:rPr>
          <w:rFonts w:hint="eastAsia"/>
        </w:rPr>
        <w:t>电梯维护保养机构取得相应的电梯维护保养资格许可；</w:t>
      </w:r>
    </w:p>
    <w:p>
      <w:pPr>
        <w:pStyle w:val="132"/>
      </w:pPr>
      <w:r>
        <w:rPr>
          <w:rFonts w:hint="eastAsia"/>
        </w:rPr>
        <w:t>消防设施保养机构应取得相应的消防设施维护保养检测资质；</w:t>
      </w:r>
    </w:p>
    <w:p>
      <w:pPr>
        <w:pStyle w:val="132"/>
      </w:pPr>
      <w:r>
        <w:rPr>
          <w:rFonts w:hint="eastAsia"/>
        </w:rPr>
        <w:t>锅炉、机械式停车设备等特种设施设备的检验机构等应取得相应的资格许可。</w:t>
      </w:r>
    </w:p>
    <w:p>
      <w:pPr>
        <w:pStyle w:val="105"/>
        <w:spacing w:before="156" w:after="156"/>
        <w:ind w:left="0"/>
      </w:pPr>
      <w:r>
        <w:rPr>
          <w:rFonts w:hint="eastAsia"/>
        </w:rPr>
        <w:t>人员要求</w:t>
      </w:r>
    </w:p>
    <w:p>
      <w:pPr>
        <w:pStyle w:val="165"/>
      </w:pPr>
      <w:r>
        <w:rPr>
          <w:rFonts w:hint="eastAsia"/>
        </w:rPr>
        <w:t>应按服务合同要求配备相应的物业服务人员，一般包括物业现场管理人员、客服、维修专业技术人员、保洁、安保、绿化等服务人员。</w:t>
      </w:r>
    </w:p>
    <w:p>
      <w:pPr>
        <w:pStyle w:val="165"/>
      </w:pPr>
      <w:r>
        <w:rPr>
          <w:rFonts w:hint="eastAsia"/>
        </w:rPr>
        <w:t>物业服务人员应接受岗前培训，考核合格后方可上岗，专业技术人员应具备相应资质并持证上岗。</w:t>
      </w:r>
    </w:p>
    <w:p>
      <w:pPr>
        <w:pStyle w:val="165"/>
      </w:pPr>
      <w:r>
        <w:rPr>
          <w:rFonts w:hint="eastAsia"/>
        </w:rPr>
        <w:t>服务过程中，人员应统一着装，仪容仪表整洁，并遵守服务礼仪，行为举止大方，用语文明规范。遇到服务对象主动询问的，应热情、耐心、周到的提供服务。</w:t>
      </w:r>
    </w:p>
    <w:p>
      <w:pPr>
        <w:pStyle w:val="165"/>
      </w:pPr>
      <w:r>
        <w:rPr>
          <w:rFonts w:hint="eastAsia"/>
        </w:rPr>
        <w:t>专用会议室、接待室的服务人员应熟悉会务、接待的操作流程，能妥善处理相关突发事件。</w:t>
      </w:r>
    </w:p>
    <w:p>
      <w:pPr>
        <w:pStyle w:val="165"/>
      </w:pPr>
      <w:r>
        <w:rPr>
          <w:rFonts w:hint="eastAsia"/>
        </w:rPr>
        <w:t>涉密区域的保洁人员宜相对稳定，两人作业或现场设置监督管理人员，同进同出，不应携带手机或其他具有摄像及录音功能的电子产品进入。</w:t>
      </w:r>
    </w:p>
    <w:p>
      <w:pPr>
        <w:pStyle w:val="105"/>
        <w:spacing w:before="156" w:after="156"/>
        <w:ind w:left="0"/>
      </w:pPr>
      <w:r>
        <w:rPr>
          <w:rFonts w:hint="eastAsia"/>
        </w:rPr>
        <w:t>档案管理</w:t>
      </w:r>
    </w:p>
    <w:p>
      <w:pPr>
        <w:pStyle w:val="165"/>
      </w:pPr>
      <w:r>
        <w:rPr>
          <w:rFonts w:hint="eastAsia"/>
        </w:rPr>
        <w:t>应建立健全统一的档案管理制度，管理应有序、规范，资料齐全、分类成册，内容完整准确，并设置档案管理专兼职人员明确档案管理人员职责。</w:t>
      </w:r>
    </w:p>
    <w:p>
      <w:pPr>
        <w:pStyle w:val="165"/>
      </w:pPr>
      <w:r>
        <w:rPr>
          <w:rFonts w:hint="eastAsia"/>
        </w:rPr>
        <w:t>应与物业服务的专业性相适应，主要分为管理档案和技术档案，其中管理档案包括管理制度、应急方案、服务工作人员信息及合同签订、绿化、安保等服务记录、投诉回访记录等；技术档案包括物业竣工验收资料、设施设备档案等内容。</w:t>
      </w:r>
    </w:p>
    <w:p>
      <w:pPr>
        <w:pStyle w:val="165"/>
      </w:pPr>
      <w:r>
        <w:rPr>
          <w:rFonts w:hint="eastAsia"/>
        </w:rPr>
        <w:t>应保证档案实体安全和信息安全，根据档案载体不同要求对档案进行适当的存储和保管。</w:t>
      </w:r>
    </w:p>
    <w:p>
      <w:pPr>
        <w:pStyle w:val="165"/>
      </w:pPr>
      <w:r>
        <w:rPr>
          <w:rFonts w:hint="eastAsia"/>
        </w:rPr>
        <w:t>档案保存时间应符合相关法律法规的要求，技术档案应在合同期满后交还服务对象，管理档案的保存时间应不少于2年。</w:t>
      </w:r>
    </w:p>
    <w:p>
      <w:pPr>
        <w:pStyle w:val="165"/>
      </w:pPr>
      <w:r>
        <w:rPr>
          <w:rFonts w:hint="eastAsia"/>
        </w:rPr>
        <w:t>应建立档案借阅、使用登记等制度，完善使用档案相关审批手续，建立健全档案使用台账，并对档案利用及时跟踪和监督。</w:t>
      </w:r>
    </w:p>
    <w:p>
      <w:pPr>
        <w:pStyle w:val="105"/>
        <w:spacing w:before="156" w:after="156"/>
        <w:ind w:left="0"/>
      </w:pPr>
      <w:r>
        <w:rPr>
          <w:rFonts w:hint="eastAsia"/>
        </w:rPr>
        <w:t>保密管理</w:t>
      </w:r>
    </w:p>
    <w:p>
      <w:pPr>
        <w:pStyle w:val="165"/>
      </w:pPr>
      <w:r>
        <w:rPr>
          <w:rFonts w:hint="eastAsia"/>
        </w:rPr>
        <w:t>物业服务企业应建立保密制度，按照保密要求管理物业服务人员，涉密岗位的服务人员应签订保密协议。</w:t>
      </w:r>
    </w:p>
    <w:p>
      <w:pPr>
        <w:pStyle w:val="165"/>
      </w:pPr>
      <w:r>
        <w:rPr>
          <w:rFonts w:hint="eastAsia"/>
        </w:rPr>
        <w:t>定期对服务人员开展保密教育和培训，培养保密意识，保密教育培训资料应存档。</w:t>
      </w:r>
    </w:p>
    <w:p>
      <w:pPr>
        <w:pStyle w:val="165"/>
      </w:pPr>
      <w:r>
        <w:rPr>
          <w:rFonts w:hint="eastAsia"/>
        </w:rPr>
        <w:t>服务人员应履行保密职责，至少做到以下：</w:t>
      </w:r>
    </w:p>
    <w:p>
      <w:pPr>
        <w:pStyle w:val="132"/>
      </w:pPr>
      <w:r>
        <w:rPr>
          <w:rFonts w:hint="eastAsia"/>
        </w:rPr>
        <w:t>不应翻阅、拍摄、复印、拍照、抄录文件资料；</w:t>
      </w:r>
    </w:p>
    <w:p>
      <w:pPr>
        <w:pStyle w:val="132"/>
      </w:pPr>
      <w:r>
        <w:rPr>
          <w:rFonts w:hint="eastAsia"/>
        </w:rPr>
        <w:t>不以任何形式传播、泄露会议与机关工作相关的文件、会议、谈话内容以及职工信息等；</w:t>
      </w:r>
    </w:p>
    <w:p>
      <w:pPr>
        <w:pStyle w:val="132"/>
      </w:pPr>
      <w:r>
        <w:rPr>
          <w:rFonts w:hint="eastAsia"/>
        </w:rPr>
        <w:t>不应以任何形式传播、泄露机关内部的重点设施设备、涉密载体、公务用车等配置及运行状况等信息；</w:t>
      </w:r>
    </w:p>
    <w:p>
      <w:pPr>
        <w:pStyle w:val="132"/>
      </w:pPr>
      <w:r>
        <w:rPr>
          <w:rFonts w:hint="eastAsia"/>
        </w:rPr>
        <w:t>捡到涉密文件货内部资料，应按规定及时上交相应机构处理；</w:t>
      </w:r>
    </w:p>
    <w:p>
      <w:pPr>
        <w:pStyle w:val="132"/>
      </w:pPr>
      <w:r>
        <w:rPr>
          <w:rFonts w:hint="eastAsia"/>
        </w:rPr>
        <w:t>清理办公室文件、资料、报纸、杂志、书籍等，应经有关人员同意且有工作人员陪同，不应擅自处理；</w:t>
      </w:r>
    </w:p>
    <w:p>
      <w:pPr>
        <w:pStyle w:val="132"/>
      </w:pPr>
      <w:r>
        <w:rPr>
          <w:rFonts w:hint="eastAsia"/>
        </w:rPr>
        <w:t>妥善保管办公室、设备用房等钥匙，不应私自配置，不应交由非授权人员管理和使用。</w:t>
      </w:r>
    </w:p>
    <w:p>
      <w:pPr>
        <w:pStyle w:val="105"/>
        <w:spacing w:before="156" w:after="156"/>
        <w:ind w:left="0"/>
      </w:pPr>
      <w:r>
        <w:rPr>
          <w:rFonts w:hint="eastAsia"/>
        </w:rPr>
        <w:t>节能管理</w:t>
      </w:r>
    </w:p>
    <w:p>
      <w:pPr>
        <w:pStyle w:val="165"/>
        <w:numPr>
          <w:ilvl w:val="3"/>
          <w:numId w:val="0"/>
        </w:numPr>
        <w:ind w:firstLine="420" w:firstLineChars="200"/>
      </w:pPr>
      <w:bookmarkStart w:id="96" w:name="_Toc156071634"/>
      <w:bookmarkStart w:id="97" w:name="_Toc155991658"/>
      <w:r>
        <w:rPr>
          <w:rFonts w:hint="eastAsia"/>
        </w:rPr>
        <w:t>物业服务企业应配合物业管理单位或使用单位制定节能改造计划，结合楼宇实际情况、能耗分析数据以及先进的能源管理方案提出节能改进措施，积极协助开展节约型公共机构创建工作。</w:t>
      </w:r>
    </w:p>
    <w:p>
      <w:pPr>
        <w:pStyle w:val="105"/>
        <w:spacing w:before="156" w:after="156"/>
        <w:ind w:left="0"/>
      </w:pPr>
      <w:r>
        <w:rPr>
          <w:rFonts w:hint="eastAsia"/>
        </w:rPr>
        <w:t>客户信息处理</w:t>
      </w:r>
    </w:p>
    <w:p>
      <w:pPr>
        <w:pStyle w:val="165"/>
        <w:numPr>
          <w:ilvl w:val="3"/>
          <w:numId w:val="0"/>
        </w:numPr>
        <w:ind w:firstLine="420" w:firstLineChars="200"/>
      </w:pPr>
      <w:r>
        <w:rPr>
          <w:rFonts w:hint="eastAsia"/>
        </w:rPr>
        <w:t>应建立24h客户服务制度，客户现场接待时间不低于8h，其他时间应设置值班人员，并公示24h值班电话，客户信息包括咨询求助、报事报修、投诉建议等，客户信息处理应采取首接负责制。</w:t>
      </w:r>
    </w:p>
    <w:bookmarkEnd w:id="96"/>
    <w:bookmarkEnd w:id="97"/>
    <w:p>
      <w:pPr>
        <w:pStyle w:val="104"/>
        <w:spacing w:before="312" w:after="312"/>
      </w:pPr>
      <w:r>
        <w:rPr>
          <w:rFonts w:hint="eastAsia"/>
        </w:rPr>
        <w:t>公共秩序服务</w:t>
      </w:r>
    </w:p>
    <w:p>
      <w:pPr>
        <w:pStyle w:val="105"/>
        <w:spacing w:before="156" w:after="156"/>
        <w:ind w:left="0"/>
      </w:pPr>
      <w:r>
        <w:rPr>
          <w:rFonts w:hint="eastAsia"/>
        </w:rPr>
        <w:t>出入管理</w:t>
      </w:r>
    </w:p>
    <w:p>
      <w:pPr>
        <w:pStyle w:val="65"/>
        <w:spacing w:before="0" w:beforeLines="0" w:after="0" w:afterLines="0"/>
        <w:rPr>
          <w:rFonts w:ascii="宋体" w:hAnsi="宋体" w:eastAsia="宋体"/>
        </w:rPr>
      </w:pPr>
      <w:r>
        <w:rPr>
          <w:rFonts w:hint="eastAsia" w:ascii="宋体" w:hAnsi="宋体" w:eastAsia="宋体"/>
        </w:rPr>
        <w:t>主出入口实行2</w:t>
      </w:r>
      <w:r>
        <w:rPr>
          <w:rFonts w:ascii="宋体" w:hAnsi="宋体" w:eastAsia="宋体"/>
        </w:rPr>
        <w:t>4h</w:t>
      </w:r>
      <w:r>
        <w:rPr>
          <w:rFonts w:hint="eastAsia" w:ascii="宋体" w:hAnsi="宋体" w:eastAsia="宋体"/>
        </w:rPr>
        <w:t>值班制度，应制定人、车、物进出入控制措施。</w:t>
      </w:r>
    </w:p>
    <w:p>
      <w:pPr>
        <w:pStyle w:val="65"/>
        <w:spacing w:before="0" w:beforeLines="0" w:after="0" w:afterLines="0"/>
        <w:rPr>
          <w:rFonts w:ascii="宋体" w:hAnsi="宋体" w:eastAsia="宋体"/>
        </w:rPr>
      </w:pPr>
      <w:r>
        <w:rPr>
          <w:rFonts w:hint="eastAsia" w:ascii="宋体" w:hAnsi="宋体" w:eastAsia="宋体"/>
        </w:rPr>
        <w:t>对来访人员应做好询问、登记，并根据不同来访目的包括但不限于办事、施工、上访、参会等采取相应的管理措施。</w:t>
      </w:r>
    </w:p>
    <w:p>
      <w:pPr>
        <w:pStyle w:val="65"/>
        <w:spacing w:before="0" w:beforeLines="0" w:after="0" w:afterLines="0"/>
        <w:rPr>
          <w:rFonts w:ascii="宋体" w:hAnsi="宋体" w:eastAsia="宋体"/>
        </w:rPr>
      </w:pPr>
      <w:r>
        <w:rPr>
          <w:rFonts w:hint="eastAsia" w:ascii="宋体" w:hAnsi="宋体" w:eastAsia="宋体"/>
        </w:rPr>
        <w:t>对进出车辆进行有效疏导，保持出入口的畅通。对临时进入车辆应做好询问、登记，征得物业使用单位工作人员同意方可放行。</w:t>
      </w:r>
    </w:p>
    <w:p>
      <w:pPr>
        <w:pStyle w:val="65"/>
        <w:spacing w:before="0" w:beforeLines="0" w:after="0" w:afterLines="0"/>
        <w:rPr>
          <w:rFonts w:ascii="宋体" w:hAnsi="宋体" w:eastAsia="宋体"/>
        </w:rPr>
      </w:pPr>
      <w:r>
        <w:rPr>
          <w:rFonts w:hint="eastAsia" w:ascii="宋体" w:hAnsi="宋体" w:eastAsia="宋体"/>
        </w:rPr>
        <w:t>应对出入物品进行管理，大宗物件出入实行“严进严出”并提前报备。</w:t>
      </w:r>
    </w:p>
    <w:p>
      <w:pPr>
        <w:pStyle w:val="65"/>
        <w:spacing w:before="0" w:beforeLines="0" w:after="0" w:afterLines="0"/>
        <w:rPr>
          <w:rFonts w:ascii="宋体" w:hAnsi="宋体" w:eastAsia="宋体"/>
        </w:rPr>
      </w:pPr>
      <w:r>
        <w:rPr>
          <w:rFonts w:hint="eastAsia" w:ascii="宋体" w:hAnsi="宋体" w:eastAsia="宋体"/>
        </w:rPr>
        <w:t>如发现可疑人、可疑车辆或可疑危险物品，不予放行，并立即上报主管部门。</w:t>
      </w:r>
    </w:p>
    <w:p>
      <w:pPr>
        <w:pStyle w:val="105"/>
        <w:spacing w:before="156" w:after="156"/>
        <w:ind w:left="0"/>
      </w:pPr>
      <w:r>
        <w:rPr>
          <w:rFonts w:hint="eastAsia"/>
        </w:rPr>
        <w:t>大厅接待</w:t>
      </w:r>
    </w:p>
    <w:p>
      <w:pPr>
        <w:pStyle w:val="65"/>
        <w:spacing w:before="0" w:beforeLines="0" w:after="0" w:afterLines="0"/>
        <w:rPr>
          <w:rFonts w:ascii="宋体" w:hAnsi="宋体" w:eastAsia="宋体"/>
        </w:rPr>
      </w:pPr>
      <w:r>
        <w:rPr>
          <w:rFonts w:hint="eastAsia" w:ascii="宋体" w:hAnsi="宋体" w:eastAsia="宋体"/>
        </w:rPr>
        <w:t>宜在办公楼宇大厅设置接待服务岗，礼貌、周到服务，展示良好服务形象。</w:t>
      </w:r>
    </w:p>
    <w:p>
      <w:pPr>
        <w:pStyle w:val="65"/>
        <w:spacing w:before="0" w:beforeLines="0" w:after="0" w:afterLines="0"/>
        <w:rPr>
          <w:rFonts w:ascii="宋体" w:hAnsi="宋体" w:eastAsia="宋体"/>
        </w:rPr>
      </w:pPr>
      <w:r>
        <w:rPr>
          <w:rFonts w:hint="eastAsia" w:ascii="宋体" w:hAnsi="宋体" w:eastAsia="宋体"/>
        </w:rPr>
        <w:t>值班人员应熟悉物业管理区域基本情况及办公指引，耐心回答访客及工作人员问询。</w:t>
      </w:r>
    </w:p>
    <w:p>
      <w:pPr>
        <w:pStyle w:val="65"/>
        <w:spacing w:before="0" w:beforeLines="0" w:after="0" w:afterLines="0"/>
        <w:rPr>
          <w:rFonts w:ascii="宋体" w:hAnsi="宋体" w:eastAsia="宋体"/>
        </w:rPr>
      </w:pPr>
      <w:r>
        <w:rPr>
          <w:rFonts w:hint="eastAsia" w:ascii="宋体" w:hAnsi="宋体" w:eastAsia="宋体"/>
        </w:rPr>
        <w:t>对大厅内及周边实行人、车、事物动态管理，维护良好公共秩序。</w:t>
      </w:r>
    </w:p>
    <w:p>
      <w:pPr>
        <w:pStyle w:val="105"/>
        <w:spacing w:before="156" w:after="156"/>
        <w:ind w:left="0"/>
      </w:pPr>
      <w:r>
        <w:rPr>
          <w:rFonts w:hint="eastAsia"/>
        </w:rPr>
        <w:t>车场管理</w:t>
      </w:r>
    </w:p>
    <w:p>
      <w:pPr>
        <w:pStyle w:val="65"/>
        <w:spacing w:before="0" w:beforeLines="0" w:after="0" w:afterLines="0"/>
        <w:rPr>
          <w:rFonts w:ascii="宋体" w:hAnsi="宋体" w:eastAsia="宋体"/>
        </w:rPr>
      </w:pPr>
      <w:r>
        <w:rPr>
          <w:rFonts w:hint="eastAsia" w:ascii="宋体" w:hAnsi="宋体" w:eastAsia="宋体"/>
        </w:rPr>
        <w:t>每日应对车场内设备（消防设备、道闸、车位显示器、车位感应器、照明设备等）进行巡检，发现故障及时排除，确保各项设备可正常使用，做好巡检记录。</w:t>
      </w:r>
    </w:p>
    <w:p>
      <w:pPr>
        <w:pStyle w:val="65"/>
        <w:spacing w:before="0" w:beforeLines="0" w:after="0" w:afterLines="0"/>
        <w:rPr>
          <w:rFonts w:ascii="宋体" w:hAnsi="宋体" w:eastAsia="宋体"/>
        </w:rPr>
      </w:pPr>
      <w:r>
        <w:rPr>
          <w:rFonts w:hint="eastAsia" w:ascii="宋体" w:hAnsi="宋体" w:eastAsia="宋体"/>
        </w:rPr>
        <w:t>所有车辆通行区域和车场应设置明显车辆引导和警示标志，地面、墙面平整无破损，车位线清晰完整。</w:t>
      </w:r>
    </w:p>
    <w:p>
      <w:pPr>
        <w:pStyle w:val="65"/>
        <w:spacing w:before="0" w:beforeLines="0" w:after="0" w:afterLines="0"/>
        <w:rPr>
          <w:rFonts w:ascii="宋体" w:hAnsi="宋体" w:eastAsia="宋体"/>
        </w:rPr>
      </w:pPr>
      <w:r>
        <w:rPr>
          <w:rFonts w:hint="eastAsia" w:ascii="宋体" w:hAnsi="宋体" w:eastAsia="宋体"/>
        </w:rPr>
        <w:t>车场监控设施应2</w:t>
      </w:r>
      <w:r>
        <w:rPr>
          <w:rFonts w:ascii="宋体" w:hAnsi="宋体" w:eastAsia="宋体"/>
        </w:rPr>
        <w:t>4</w:t>
      </w:r>
      <w:r>
        <w:rPr>
          <w:rFonts w:hint="eastAsia" w:ascii="宋体" w:hAnsi="宋体" w:eastAsia="宋体"/>
        </w:rPr>
        <w:t>h开通，所有监控设备应运行可靠、画面清晰、切换稳定，且有专人监控。录像回放清晰。</w:t>
      </w:r>
    </w:p>
    <w:p>
      <w:pPr>
        <w:pStyle w:val="65"/>
        <w:spacing w:before="0" w:beforeLines="0" w:after="0" w:afterLines="0"/>
        <w:rPr>
          <w:rFonts w:ascii="宋体" w:hAnsi="宋体" w:eastAsia="宋体"/>
        </w:rPr>
      </w:pPr>
      <w:r>
        <w:rPr>
          <w:rFonts w:hint="eastAsia" w:ascii="宋体" w:hAnsi="宋体" w:eastAsia="宋体"/>
        </w:rPr>
        <w:t>做好车场及车辆的动静态管理和分类管理，倡导人车分流，保持有序，无违停，发现异常情况应及时报告，联系车主处理。</w:t>
      </w:r>
    </w:p>
    <w:p>
      <w:pPr>
        <w:pStyle w:val="65"/>
        <w:spacing w:before="0" w:beforeLines="0" w:after="0" w:afterLines="0"/>
        <w:rPr>
          <w:rFonts w:ascii="宋体" w:hAnsi="宋体" w:eastAsia="宋体"/>
        </w:rPr>
      </w:pPr>
      <w:r>
        <w:rPr>
          <w:rFonts w:hint="eastAsia" w:ascii="宋体" w:hAnsi="宋体" w:eastAsia="宋体"/>
        </w:rPr>
        <w:t>不应在车场堆积、存放易燃易爆等危险品以及其他杂物。</w:t>
      </w:r>
    </w:p>
    <w:p>
      <w:pPr>
        <w:pStyle w:val="105"/>
        <w:spacing w:before="156" w:after="156"/>
        <w:ind w:left="0"/>
      </w:pPr>
      <w:r>
        <w:rPr>
          <w:rFonts w:hint="eastAsia"/>
        </w:rPr>
        <w:t>巡查管理</w:t>
      </w:r>
    </w:p>
    <w:p>
      <w:pPr>
        <w:pStyle w:val="65"/>
        <w:spacing w:before="0" w:beforeLines="0" w:after="0" w:afterLines="0"/>
        <w:rPr>
          <w:rFonts w:ascii="宋体" w:hAnsi="宋体" w:eastAsia="宋体"/>
        </w:rPr>
      </w:pPr>
      <w:r>
        <w:rPr>
          <w:rFonts w:hint="eastAsia" w:ascii="宋体" w:hAnsi="宋体" w:eastAsia="宋体"/>
        </w:rPr>
        <w:t>应制定巡查方案，明确职责和巡查路线，路线设置应无死角、无盲区、无断层，定期评估巡查路线有效性。</w:t>
      </w:r>
    </w:p>
    <w:p>
      <w:pPr>
        <w:pStyle w:val="65"/>
        <w:spacing w:before="0" w:beforeLines="0" w:after="0" w:afterLines="0"/>
        <w:rPr>
          <w:rFonts w:ascii="宋体" w:hAnsi="宋体" w:eastAsia="宋体"/>
        </w:rPr>
      </w:pPr>
      <w:r>
        <w:rPr>
          <w:rFonts w:hint="eastAsia" w:ascii="宋体" w:hAnsi="宋体" w:eastAsia="宋体"/>
        </w:rPr>
        <w:t>巡查范围应覆盖物业管理所有区域，包括办公楼宇、外围以及与外围接点周边区域，并明确重点巡查区域或部位。</w:t>
      </w:r>
    </w:p>
    <w:p>
      <w:pPr>
        <w:pStyle w:val="65"/>
        <w:spacing w:before="0" w:beforeLines="0" w:after="0" w:afterLines="0"/>
        <w:rPr>
          <w:rFonts w:ascii="宋体" w:hAnsi="宋体" w:eastAsia="宋体"/>
        </w:rPr>
      </w:pPr>
      <w:r>
        <w:rPr>
          <w:rFonts w:hint="eastAsia" w:ascii="宋体" w:hAnsi="宋体" w:eastAsia="宋体"/>
        </w:rPr>
        <w:t>每日巡视检查不少于3次。如发现异常情况包括但不限于可疑人、可疑物品、安全隐患、公共设施设备损坏，应及时上报并现场处置，做好相关记录。对重点区域或部位的巡查每2</w:t>
      </w:r>
      <w:r>
        <w:rPr>
          <w:rFonts w:ascii="宋体" w:hAnsi="宋体" w:eastAsia="宋体"/>
        </w:rPr>
        <w:t>h</w:t>
      </w:r>
      <w:r>
        <w:rPr>
          <w:rFonts w:hint="eastAsia" w:ascii="宋体" w:hAnsi="宋体" w:eastAsia="宋体"/>
        </w:rPr>
        <w:t>不少于1次。</w:t>
      </w:r>
    </w:p>
    <w:p>
      <w:pPr>
        <w:pStyle w:val="65"/>
        <w:spacing w:before="0" w:beforeLines="0" w:after="0" w:afterLines="0"/>
        <w:rPr>
          <w:rFonts w:ascii="宋体" w:hAnsi="宋体" w:eastAsia="宋体"/>
        </w:rPr>
      </w:pPr>
      <w:r>
        <w:rPr>
          <w:rFonts w:hint="eastAsia" w:ascii="宋体" w:hAnsi="宋体" w:eastAsia="宋体"/>
        </w:rPr>
        <w:t>巡查时，宜携带必要防护装备及检查器具，应重点关注声音、气味、灯光、烟火、门窗、管道、电梯、车辆、可疑人员等异常情况，保持通讯设备畅通。</w:t>
      </w:r>
    </w:p>
    <w:p>
      <w:pPr>
        <w:pStyle w:val="105"/>
        <w:spacing w:before="156" w:after="156"/>
        <w:ind w:left="0"/>
      </w:pPr>
      <w:r>
        <w:rPr>
          <w:rFonts w:hint="eastAsia"/>
        </w:rPr>
        <w:t>监控管理</w:t>
      </w:r>
    </w:p>
    <w:p>
      <w:pPr>
        <w:pStyle w:val="65"/>
        <w:spacing w:before="0" w:beforeLines="0" w:after="0" w:afterLines="0"/>
        <w:rPr>
          <w:rFonts w:ascii="宋体" w:hAnsi="宋体" w:eastAsia="宋体"/>
        </w:rPr>
      </w:pPr>
      <w:r>
        <w:rPr>
          <w:rFonts w:hint="eastAsia" w:ascii="宋体" w:hAnsi="宋体" w:eastAsia="宋体"/>
        </w:rPr>
        <w:t>监控室应实行专人24h值班制度。值班人员应熟悉物业管理区域布局及摄像头分布情况，了解设备运行状况，密切关注监控画面，及时应对处置可疑或异常情况，实时做好相关记录。</w:t>
      </w:r>
    </w:p>
    <w:p>
      <w:pPr>
        <w:pStyle w:val="65"/>
        <w:spacing w:before="0" w:beforeLines="0" w:after="0" w:afterLines="0"/>
        <w:rPr>
          <w:rFonts w:ascii="宋体" w:hAnsi="宋体" w:eastAsia="宋体"/>
        </w:rPr>
      </w:pPr>
      <w:r>
        <w:rPr>
          <w:rFonts w:hint="eastAsia" w:ascii="宋体" w:hAnsi="宋体" w:eastAsia="宋体"/>
        </w:rPr>
        <w:t>确保监控设备持续正常运行，发现设备运行异常，应及时报修处理。并在设备恢复正常前，对其所监控区域加强人防或采取其他有效防范措施。</w:t>
      </w:r>
    </w:p>
    <w:p>
      <w:pPr>
        <w:pStyle w:val="65"/>
        <w:spacing w:before="0" w:beforeLines="0" w:after="0" w:afterLines="0"/>
        <w:rPr>
          <w:rFonts w:ascii="宋体" w:hAnsi="宋体" w:eastAsia="宋体"/>
        </w:rPr>
      </w:pPr>
      <w:r>
        <w:rPr>
          <w:rFonts w:hint="eastAsia" w:ascii="宋体" w:hAnsi="宋体" w:eastAsia="宋体"/>
        </w:rPr>
        <w:t>值班期间应遵守操作规程和保密制度，其他人员进入监控室或查阅监控记录，应经授权人批准。</w:t>
      </w:r>
    </w:p>
    <w:p>
      <w:pPr>
        <w:pStyle w:val="65"/>
        <w:spacing w:before="0" w:beforeLines="0" w:after="0" w:afterLines="0"/>
        <w:rPr>
          <w:rFonts w:ascii="宋体" w:hAnsi="宋体" w:eastAsia="宋体"/>
        </w:rPr>
      </w:pPr>
      <w:r>
        <w:rPr>
          <w:rFonts w:hint="eastAsia" w:ascii="宋体" w:hAnsi="宋体" w:eastAsia="宋体"/>
        </w:rPr>
        <w:t>收到火情、险情及其他异常情况报警信号后应及时确认，确认属实立即上报，拨打“1</w:t>
      </w:r>
      <w:r>
        <w:rPr>
          <w:rFonts w:ascii="宋体" w:hAnsi="宋体" w:eastAsia="宋体"/>
        </w:rPr>
        <w:t>10</w:t>
      </w:r>
      <w:r>
        <w:rPr>
          <w:rFonts w:hint="eastAsia" w:ascii="宋体" w:hAnsi="宋体" w:eastAsia="宋体"/>
        </w:rPr>
        <w:t>或1</w:t>
      </w:r>
      <w:r>
        <w:rPr>
          <w:rFonts w:ascii="宋体" w:hAnsi="宋体" w:eastAsia="宋体"/>
        </w:rPr>
        <w:t>19</w:t>
      </w:r>
      <w:r>
        <w:rPr>
          <w:rFonts w:hint="eastAsia" w:ascii="宋体" w:hAnsi="宋体" w:eastAsia="宋体"/>
        </w:rPr>
        <w:t>”报警，并安排相关人员及时到达现场进行前期处理，必要时，启动应急预案。</w:t>
      </w:r>
    </w:p>
    <w:p>
      <w:pPr>
        <w:pStyle w:val="65"/>
        <w:spacing w:before="0" w:beforeLines="0" w:after="0" w:afterLines="0"/>
        <w:rPr>
          <w:rFonts w:ascii="宋体" w:hAnsi="宋体" w:eastAsia="宋体"/>
        </w:rPr>
      </w:pPr>
      <w:r>
        <w:rPr>
          <w:rFonts w:hint="eastAsia" w:ascii="宋体" w:hAnsi="宋体" w:eastAsia="宋体"/>
        </w:rPr>
        <w:t>监控室工作人员应严守秘密，不应泄露监控信息。</w:t>
      </w:r>
    </w:p>
    <w:p>
      <w:pPr>
        <w:pStyle w:val="104"/>
        <w:spacing w:before="312" w:after="312"/>
      </w:pPr>
      <w:bookmarkStart w:id="98" w:name="_Toc155991659"/>
      <w:bookmarkEnd w:id="98"/>
      <w:bookmarkStart w:id="99" w:name="_Toc155102944"/>
      <w:bookmarkStart w:id="100" w:name="_Toc132207982"/>
      <w:bookmarkStart w:id="101" w:name="_Toc133224179"/>
      <w:bookmarkStart w:id="102" w:name="_Toc132119242"/>
      <w:bookmarkStart w:id="103" w:name="_Toc133224288"/>
      <w:bookmarkStart w:id="104" w:name="_Toc155102548"/>
      <w:bookmarkStart w:id="105" w:name="_Toc132101793"/>
      <w:bookmarkStart w:id="106" w:name="_Toc132121096"/>
      <w:bookmarkStart w:id="107" w:name="_Toc132275433"/>
      <w:r>
        <w:rPr>
          <w:rFonts w:hint="eastAsia"/>
        </w:rPr>
        <w:t>环境维护</w:t>
      </w:r>
    </w:p>
    <w:bookmarkEnd w:id="99"/>
    <w:bookmarkEnd w:id="100"/>
    <w:bookmarkEnd w:id="101"/>
    <w:bookmarkEnd w:id="102"/>
    <w:bookmarkEnd w:id="103"/>
    <w:bookmarkEnd w:id="104"/>
    <w:bookmarkEnd w:id="105"/>
    <w:bookmarkEnd w:id="106"/>
    <w:bookmarkEnd w:id="107"/>
    <w:p>
      <w:pPr>
        <w:pStyle w:val="105"/>
        <w:spacing w:before="156" w:after="156"/>
        <w:ind w:left="0"/>
      </w:pPr>
      <w:r>
        <w:rPr>
          <w:rFonts w:hint="eastAsia"/>
        </w:rPr>
        <w:t>保洁服务</w:t>
      </w:r>
    </w:p>
    <w:p>
      <w:pPr>
        <w:pStyle w:val="65"/>
        <w:spacing w:before="0" w:beforeLines="0" w:after="0" w:afterLines="0"/>
        <w:rPr>
          <w:rFonts w:ascii="宋体" w:eastAsia="宋体"/>
        </w:rPr>
      </w:pPr>
      <w:r>
        <w:rPr>
          <w:rFonts w:hint="eastAsia" w:ascii="宋体" w:eastAsia="宋体"/>
        </w:rPr>
        <w:t>应根据物业管理区域实际情况制定日常保洁和计划卫生内容，识别重点工作区域和重要工作环节，对保洁人员实行定岗定责管理。</w:t>
      </w:r>
    </w:p>
    <w:p>
      <w:pPr>
        <w:pStyle w:val="65"/>
        <w:spacing w:before="0" w:beforeLines="0" w:after="0" w:afterLines="0"/>
        <w:rPr>
          <w:rFonts w:ascii="宋体" w:eastAsia="宋体"/>
        </w:rPr>
      </w:pPr>
      <w:r>
        <w:rPr>
          <w:rFonts w:hint="eastAsia" w:ascii="宋体" w:eastAsia="宋体"/>
        </w:rPr>
        <w:t>楼内公共区域每日清洁不应少于1次，做到楼层走道、人行楼梯无灰尘、无蛛网、无水渍，指示牌干净无污渍，指示醒目。</w:t>
      </w:r>
    </w:p>
    <w:p>
      <w:pPr>
        <w:pStyle w:val="65"/>
        <w:spacing w:before="0" w:beforeLines="0" w:after="0" w:afterLines="0"/>
        <w:rPr>
          <w:rFonts w:ascii="宋体" w:eastAsia="宋体"/>
        </w:rPr>
      </w:pPr>
      <w:r>
        <w:rPr>
          <w:rFonts w:hint="eastAsia" w:ascii="宋体" w:eastAsia="宋体"/>
        </w:rPr>
        <w:t>大厅、电梯前室及电梯轿厢每日清洁不应少于2次，做到地面干净、墙面无蛛网，无卫生死角，电梯轿厢洁净，灯具、操作指示板明亮。</w:t>
      </w:r>
    </w:p>
    <w:p>
      <w:pPr>
        <w:pStyle w:val="65"/>
        <w:spacing w:before="0" w:beforeLines="0" w:after="0" w:afterLines="0"/>
        <w:rPr>
          <w:rFonts w:ascii="宋体" w:eastAsia="宋体"/>
        </w:rPr>
      </w:pPr>
      <w:r>
        <w:rPr>
          <w:rFonts w:hint="eastAsia" w:ascii="宋体" w:eastAsia="宋体"/>
        </w:rPr>
        <w:t>卫生间、茶水间每日清洁不少于</w:t>
      </w:r>
      <w:r>
        <w:rPr>
          <w:rFonts w:ascii="宋体" w:eastAsia="宋体"/>
        </w:rPr>
        <w:t>2</w:t>
      </w:r>
      <w:r>
        <w:rPr>
          <w:rFonts w:hint="eastAsia" w:ascii="宋体" w:eastAsia="宋体"/>
        </w:rPr>
        <w:t>次，地面干净，无杂物，无积水，墙面干净无污渍，五金件、镜面明亮无水迹。</w:t>
      </w:r>
    </w:p>
    <w:p>
      <w:pPr>
        <w:pStyle w:val="65"/>
        <w:spacing w:before="0" w:beforeLines="0" w:after="0" w:afterLines="0"/>
        <w:rPr>
          <w:rFonts w:ascii="宋体" w:eastAsia="宋体"/>
        </w:rPr>
      </w:pPr>
      <w:r>
        <w:rPr>
          <w:rFonts w:hint="eastAsia" w:ascii="宋体" w:eastAsia="宋体"/>
        </w:rPr>
        <w:t>地下空间每日清洁1次，地面无污渍、无积水，地沟无堵塞，指示牌、标识牌清晰、无遮挡。</w:t>
      </w:r>
    </w:p>
    <w:p>
      <w:pPr>
        <w:pStyle w:val="65"/>
        <w:spacing w:before="0" w:beforeLines="0" w:after="0" w:afterLines="0"/>
        <w:rPr>
          <w:rFonts w:ascii="宋体" w:eastAsia="宋体"/>
        </w:rPr>
      </w:pPr>
      <w:r>
        <w:rPr>
          <w:rFonts w:hint="eastAsia" w:ascii="宋体" w:eastAsia="宋体"/>
        </w:rPr>
        <w:t>平台应定期打扫，每月应巡查天台不少于1次，有杂物及时清扫，排水设施保持畅通。</w:t>
      </w:r>
    </w:p>
    <w:p>
      <w:pPr>
        <w:pStyle w:val="65"/>
        <w:spacing w:before="0" w:beforeLines="0" w:after="0" w:afterLines="0"/>
        <w:rPr>
          <w:rFonts w:ascii="宋体" w:eastAsia="宋体"/>
        </w:rPr>
      </w:pPr>
      <w:r>
        <w:rPr>
          <w:rFonts w:hint="eastAsia" w:ascii="宋体" w:eastAsia="宋体"/>
        </w:rPr>
        <w:t>会议室、接待室、指定的办公室等独立空间每日清洁不少于1次，做到设施表面干净、摆放整齐，窗明几净，地面干净，墙面无蛛网。</w:t>
      </w:r>
    </w:p>
    <w:p>
      <w:pPr>
        <w:pStyle w:val="65"/>
        <w:spacing w:before="0" w:beforeLines="0" w:after="0" w:afterLines="0"/>
        <w:rPr>
          <w:rFonts w:ascii="宋体" w:eastAsia="宋体"/>
        </w:rPr>
      </w:pPr>
      <w:r>
        <w:rPr>
          <w:rFonts w:hint="eastAsia" w:ascii="宋体" w:eastAsia="宋体"/>
        </w:rPr>
        <w:t>楼宇外墙面、地毯、大理石等专项清洁根据服务合同的要求进行相应处置。</w:t>
      </w:r>
    </w:p>
    <w:p>
      <w:pPr>
        <w:pStyle w:val="65"/>
        <w:spacing w:before="0" w:beforeLines="0" w:after="0" w:afterLines="0"/>
        <w:rPr>
          <w:rFonts w:ascii="宋体" w:eastAsia="宋体"/>
        </w:rPr>
      </w:pPr>
      <w:r>
        <w:rPr>
          <w:rFonts w:hint="eastAsia" w:ascii="宋体" w:eastAsia="宋体"/>
        </w:rPr>
        <w:t>宜应用分色系统对清洁工具进行色标分类及使用，防止区域二次污染；正确使用“小心地滑”等提示标牌。</w:t>
      </w:r>
    </w:p>
    <w:p>
      <w:pPr>
        <w:pStyle w:val="65"/>
        <w:spacing w:before="0" w:beforeLines="0" w:after="0" w:afterLines="0"/>
        <w:rPr>
          <w:rFonts w:ascii="宋体" w:eastAsia="宋体"/>
        </w:rPr>
      </w:pPr>
      <w:r>
        <w:rPr>
          <w:rFonts w:hint="eastAsia" w:ascii="宋体" w:eastAsia="宋体"/>
        </w:rPr>
        <w:t>办公楼宇内温湿度、空气质量应符合G</w:t>
      </w:r>
      <w:r>
        <w:rPr>
          <w:rFonts w:ascii="宋体" w:eastAsia="宋体"/>
        </w:rPr>
        <w:t>B/T 18883</w:t>
      </w:r>
      <w:r>
        <w:rPr>
          <w:rFonts w:hint="eastAsia" w:ascii="宋体" w:eastAsia="宋体"/>
        </w:rPr>
        <w:t>的要求。</w:t>
      </w:r>
    </w:p>
    <w:p>
      <w:pPr>
        <w:pStyle w:val="65"/>
        <w:spacing w:before="0" w:beforeLines="0" w:after="0" w:afterLines="0"/>
        <w:rPr>
          <w:rFonts w:ascii="宋体" w:eastAsia="宋体"/>
        </w:rPr>
      </w:pPr>
      <w:r>
        <w:rPr>
          <w:rFonts w:hint="eastAsia" w:ascii="宋体" w:eastAsia="宋体"/>
        </w:rPr>
        <w:t>外围道路、绿化带、车棚、停车场等公共部位应保持干净整洁，无纸屑、烟头等废弃物；宣传栏、标牌、路灯等室外基础设施应保持干净整洁，无积尘、无污迹、无乱贴、乱画现象；室外管井排水畅通、清捞及时，干净无污垢。</w:t>
      </w:r>
    </w:p>
    <w:p>
      <w:pPr>
        <w:pStyle w:val="65"/>
        <w:spacing w:before="0" w:beforeLines="0" w:after="0" w:afterLines="0"/>
        <w:rPr>
          <w:rFonts w:ascii="宋体" w:eastAsia="宋体"/>
        </w:rPr>
      </w:pPr>
      <w:r>
        <w:rPr>
          <w:rFonts w:hint="eastAsia" w:ascii="宋体" w:eastAsia="宋体"/>
        </w:rPr>
        <w:t>物业管理区域还应做好循环保洁，保持干净整洁的办公环境。</w:t>
      </w:r>
    </w:p>
    <w:p>
      <w:pPr>
        <w:pStyle w:val="105"/>
        <w:spacing w:before="156" w:after="156"/>
        <w:ind w:left="0"/>
      </w:pPr>
      <w:r>
        <w:rPr>
          <w:rFonts w:hint="eastAsia"/>
        </w:rPr>
        <w:t>垃圾分类与收集</w:t>
      </w:r>
    </w:p>
    <w:p>
      <w:pPr>
        <w:pStyle w:val="65"/>
        <w:spacing w:before="0" w:beforeLines="0" w:after="0" w:afterLines="0"/>
        <w:rPr>
          <w:rFonts w:ascii="宋体" w:eastAsia="宋体"/>
        </w:rPr>
      </w:pPr>
      <w:r>
        <w:rPr>
          <w:rFonts w:hint="eastAsia" w:ascii="宋体" w:eastAsia="宋体"/>
        </w:rPr>
        <w:t>生活垃圾实行分类管理，积极开展垃圾分类知识普及和公益宣传。</w:t>
      </w:r>
    </w:p>
    <w:p>
      <w:pPr>
        <w:pStyle w:val="65"/>
        <w:spacing w:before="0" w:beforeLines="0" w:after="0" w:afterLines="0"/>
        <w:rPr>
          <w:rFonts w:ascii="宋体" w:eastAsia="宋体"/>
        </w:rPr>
      </w:pPr>
      <w:r>
        <w:rPr>
          <w:rFonts w:hint="eastAsia" w:ascii="宋体" w:eastAsia="宋体"/>
        </w:rPr>
        <w:t>配置数量适宜的环卫设施，且布局合理，及时清洁、定期维护，对破损的生活垃圾分类收集容器应及时更换，确保整洁完好，标识规范清晰。</w:t>
      </w:r>
    </w:p>
    <w:p>
      <w:pPr>
        <w:pStyle w:val="65"/>
        <w:spacing w:before="0" w:beforeLines="0" w:after="0" w:afterLines="0"/>
        <w:rPr>
          <w:rFonts w:ascii="宋体" w:eastAsia="宋体"/>
        </w:rPr>
      </w:pPr>
      <w:r>
        <w:rPr>
          <w:rFonts w:hint="eastAsia" w:ascii="宋体" w:eastAsia="宋体"/>
        </w:rPr>
        <w:t>生活垃圾日产日清，每日至少收集2次，并统一存放至生活垃圾分类收集站点，垃圾收集率100%。清运过程中做好防护措施，实行全过程封闭式管理，避免造成二次环境污染。</w:t>
      </w:r>
    </w:p>
    <w:p>
      <w:pPr>
        <w:pStyle w:val="65"/>
        <w:spacing w:before="0" w:beforeLines="0" w:after="0" w:afterLines="0"/>
        <w:rPr>
          <w:rFonts w:ascii="宋体" w:eastAsia="宋体"/>
        </w:rPr>
      </w:pPr>
      <w:r>
        <w:rPr>
          <w:rFonts w:hint="eastAsia" w:ascii="宋体" w:eastAsia="宋体"/>
        </w:rPr>
        <w:t>应定时巡查生活垃圾分类收集站点的环境卫生状况，确保无垃圾溢出，无污水积存，周围无杂物、无异味，无蚊蝇鼠蟑孳生。</w:t>
      </w:r>
    </w:p>
    <w:p>
      <w:pPr>
        <w:pStyle w:val="65"/>
        <w:spacing w:before="0" w:beforeLines="0" w:after="0" w:afterLines="0"/>
        <w:rPr>
          <w:rFonts w:ascii="宋体" w:eastAsia="宋体"/>
        </w:rPr>
      </w:pPr>
      <w:r>
        <w:rPr>
          <w:rFonts w:hint="eastAsia" w:ascii="宋体" w:eastAsia="宋体"/>
        </w:rPr>
        <w:t>应与符合规定的机构/单位签订生活垃圾收运合同。对有害垃圾、可回收物及厨余垃圾应建立进出台账，记录其种类、数量、去向等，完善统计制度。</w:t>
      </w:r>
    </w:p>
    <w:p>
      <w:pPr>
        <w:pStyle w:val="105"/>
        <w:spacing w:before="156" w:after="156"/>
        <w:ind w:left="0"/>
      </w:pPr>
      <w:bookmarkStart w:id="108" w:name="_Toc155102947"/>
      <w:bookmarkStart w:id="109" w:name="_Toc132119244"/>
      <w:bookmarkStart w:id="110" w:name="_Toc133224290"/>
      <w:bookmarkStart w:id="111" w:name="_Toc155102550"/>
      <w:bookmarkStart w:id="112" w:name="_Toc132207984"/>
      <w:bookmarkStart w:id="113" w:name="_Toc155102946"/>
      <w:bookmarkStart w:id="114" w:name="_Toc132275435"/>
      <w:bookmarkStart w:id="115" w:name="_Toc132121098"/>
      <w:bookmarkStart w:id="116" w:name="_Toc132101795"/>
      <w:bookmarkStart w:id="117" w:name="_Toc133224181"/>
      <w:r>
        <w:rPr>
          <w:rFonts w:hint="eastAsia"/>
        </w:rPr>
        <w:t>病媒生物防制</w:t>
      </w:r>
    </w:p>
    <w:p>
      <w:pPr>
        <w:pStyle w:val="65"/>
        <w:spacing w:before="0" w:beforeLines="0" w:after="0" w:afterLines="0"/>
        <w:rPr>
          <w:rFonts w:ascii="宋体" w:eastAsia="宋体"/>
        </w:rPr>
      </w:pPr>
      <w:r>
        <w:rPr>
          <w:rFonts w:hint="eastAsia" w:ascii="宋体" w:eastAsia="宋体"/>
        </w:rPr>
        <w:t>按照卫生防疫部门的相关要求，做好物业管理区域的卫生消毒工作，环境及物品以清洁为主、预防性消毒为辅。</w:t>
      </w:r>
    </w:p>
    <w:p>
      <w:pPr>
        <w:pStyle w:val="65"/>
        <w:spacing w:before="0" w:beforeLines="0" w:after="0" w:afterLines="0"/>
        <w:rPr>
          <w:rFonts w:ascii="宋体" w:eastAsia="宋体"/>
        </w:rPr>
      </w:pPr>
      <w:r>
        <w:rPr>
          <w:rFonts w:hint="eastAsia" w:ascii="宋体" w:eastAsia="宋体"/>
        </w:rPr>
        <w:t>办公区域、公共通道和周边环境内应定期开展定向预防性卫生消杀。</w:t>
      </w:r>
    </w:p>
    <w:p>
      <w:pPr>
        <w:pStyle w:val="65"/>
        <w:spacing w:before="0" w:beforeLines="0" w:after="0" w:afterLines="0"/>
        <w:rPr>
          <w:rFonts w:ascii="宋体" w:eastAsia="宋体"/>
        </w:rPr>
      </w:pPr>
      <w:r>
        <w:rPr>
          <w:rFonts w:hint="eastAsia" w:ascii="宋体" w:eastAsia="宋体"/>
        </w:rPr>
        <w:t>采取综合性措施灭“四害”，控制室内外蚊蝇鼠蟑孳生。</w:t>
      </w:r>
    </w:p>
    <w:p>
      <w:pPr>
        <w:pStyle w:val="65"/>
        <w:spacing w:before="0" w:beforeLines="0" w:after="0" w:afterLines="0"/>
        <w:rPr>
          <w:rFonts w:ascii="宋体" w:eastAsia="宋体"/>
        </w:rPr>
      </w:pPr>
      <w:r>
        <w:rPr>
          <w:rFonts w:hint="eastAsia" w:ascii="宋体" w:eastAsia="宋体"/>
        </w:rPr>
        <w:t>配合相关部门进行有害生物的预防控制，在定点区域投放药物，并予以明显的标识。</w:t>
      </w:r>
    </w:p>
    <w:p>
      <w:pPr>
        <w:pStyle w:val="65"/>
        <w:spacing w:before="0" w:beforeLines="0" w:after="0" w:afterLines="0"/>
        <w:rPr>
          <w:rFonts w:ascii="宋体" w:eastAsia="宋体"/>
        </w:rPr>
      </w:pPr>
      <w:r>
        <w:rPr>
          <w:rFonts w:hint="eastAsia" w:ascii="宋体" w:eastAsia="宋体"/>
        </w:rPr>
        <w:t>当发生公共卫生安全事件时，应启动应急预案，并邀请专业机构开展环境消杀。</w:t>
      </w:r>
    </w:p>
    <w:bookmarkEnd w:id="108"/>
    <w:p>
      <w:pPr>
        <w:pStyle w:val="105"/>
        <w:spacing w:before="156" w:after="156"/>
        <w:ind w:left="0"/>
      </w:pPr>
      <w:r>
        <w:rPr>
          <w:rFonts w:hint="eastAsia"/>
        </w:rPr>
        <w:t>绿化养护</w:t>
      </w:r>
      <w:bookmarkEnd w:id="109"/>
      <w:bookmarkEnd w:id="110"/>
      <w:bookmarkEnd w:id="111"/>
      <w:bookmarkEnd w:id="112"/>
      <w:bookmarkEnd w:id="113"/>
      <w:bookmarkEnd w:id="114"/>
      <w:bookmarkEnd w:id="115"/>
      <w:bookmarkEnd w:id="116"/>
      <w:bookmarkEnd w:id="117"/>
    </w:p>
    <w:p>
      <w:pPr>
        <w:pStyle w:val="65"/>
        <w:spacing w:before="0" w:beforeLines="0" w:after="0" w:afterLines="0"/>
        <w:rPr>
          <w:rFonts w:ascii="宋体" w:eastAsia="宋体"/>
        </w:rPr>
      </w:pPr>
      <w:r>
        <w:rPr>
          <w:rFonts w:hint="eastAsia" w:ascii="宋体" w:eastAsia="宋体"/>
        </w:rPr>
        <w:t>应开展日常养护工作，其中包括浇水、修剪、施肥、清洁、放病虫等内容。</w:t>
      </w:r>
    </w:p>
    <w:p>
      <w:pPr>
        <w:pStyle w:val="65"/>
        <w:spacing w:before="0" w:beforeLines="0" w:after="0" w:afterLines="0"/>
        <w:rPr>
          <w:rFonts w:ascii="宋体" w:eastAsia="宋体"/>
        </w:rPr>
      </w:pPr>
      <w:r>
        <w:rPr>
          <w:rFonts w:hint="eastAsia" w:ascii="宋体" w:eastAsia="宋体"/>
        </w:rPr>
        <w:t>根据场所内绿植生长情况进行松土、除草、施肥等作业，保证绿植生长茂盛。</w:t>
      </w:r>
    </w:p>
    <w:p>
      <w:pPr>
        <w:pStyle w:val="65"/>
        <w:spacing w:before="0" w:beforeLines="0" w:after="0" w:afterLines="0"/>
        <w:rPr>
          <w:rFonts w:ascii="宋体" w:eastAsia="宋体"/>
        </w:rPr>
      </w:pPr>
      <w:r>
        <w:rPr>
          <w:rFonts w:hint="eastAsia" w:ascii="宋体" w:eastAsia="宋体"/>
        </w:rPr>
        <w:t>定期巡查绿化景观，根据需要开展修剪。</w:t>
      </w:r>
    </w:p>
    <w:p>
      <w:pPr>
        <w:pStyle w:val="65"/>
        <w:spacing w:before="0" w:beforeLines="0" w:after="0" w:afterLines="0"/>
        <w:rPr>
          <w:rFonts w:ascii="宋体" w:eastAsia="宋体"/>
        </w:rPr>
      </w:pPr>
      <w:r>
        <w:rPr>
          <w:rFonts w:hint="eastAsia" w:ascii="宋体" w:eastAsia="宋体"/>
        </w:rPr>
        <w:t>按需对绿植进行浇灌，灌溉水下渗充足均匀，无明显旱涝；水培植物每周换水1～</w:t>
      </w:r>
      <w:r>
        <w:rPr>
          <w:rFonts w:ascii="宋体" w:eastAsia="宋体"/>
        </w:rPr>
        <w:t>2</w:t>
      </w:r>
      <w:r>
        <w:rPr>
          <w:rFonts w:hint="eastAsia" w:ascii="宋体" w:eastAsia="宋体"/>
        </w:rPr>
        <w:t>次，确保容器内水质清洁，无异味。</w:t>
      </w:r>
    </w:p>
    <w:p>
      <w:pPr>
        <w:pStyle w:val="65"/>
        <w:spacing w:before="0" w:beforeLines="0" w:after="0" w:afterLines="0"/>
        <w:rPr>
          <w:rFonts w:ascii="宋体" w:eastAsia="宋体"/>
        </w:rPr>
      </w:pPr>
      <w:r>
        <w:rPr>
          <w:rFonts w:hint="eastAsia" w:ascii="宋体" w:eastAsia="宋体"/>
        </w:rPr>
        <w:t>绿化养护过程中，发现轻微病虫害的植物，应在非工作时间（且至少预留1</w:t>
      </w:r>
      <w:r>
        <w:rPr>
          <w:rFonts w:ascii="宋体" w:eastAsia="宋体"/>
        </w:rPr>
        <w:t>2h</w:t>
      </w:r>
      <w:r>
        <w:rPr>
          <w:rFonts w:hint="eastAsia" w:ascii="宋体" w:eastAsia="宋体"/>
        </w:rPr>
        <w:t>窗口期）进行防治，确保防治措施及时有效。</w:t>
      </w:r>
    </w:p>
    <w:p>
      <w:pPr>
        <w:pStyle w:val="65"/>
        <w:spacing w:before="0" w:beforeLines="0" w:after="0" w:afterLines="0"/>
        <w:rPr>
          <w:rFonts w:ascii="宋体" w:eastAsia="宋体"/>
        </w:rPr>
      </w:pPr>
      <w:r>
        <w:rPr>
          <w:rFonts w:hint="eastAsia" w:ascii="宋体" w:eastAsia="宋体"/>
        </w:rPr>
        <w:t>更换长势差或影响景观效果的绿植，对因各种原因造成空缺的苗木情况进行上报，并由相关单位进行补植。</w:t>
      </w:r>
    </w:p>
    <w:p>
      <w:pPr>
        <w:pStyle w:val="65"/>
        <w:spacing w:before="0" w:beforeLines="0" w:after="0" w:afterLines="0"/>
        <w:rPr>
          <w:rFonts w:ascii="宋体" w:eastAsia="宋体"/>
        </w:rPr>
      </w:pPr>
      <w:r>
        <w:rPr>
          <w:rFonts w:hint="eastAsia" w:ascii="宋体" w:eastAsia="宋体"/>
        </w:rPr>
        <w:t>绿地内出现跑冒滴漏爆等事故，应及时协调相关部门进行抢修，对抢修过程中造成绿地损毁的，应及时补救。</w:t>
      </w:r>
    </w:p>
    <w:p>
      <w:pPr>
        <w:pStyle w:val="65"/>
        <w:spacing w:before="0" w:beforeLines="0" w:after="0" w:afterLines="0"/>
        <w:rPr>
          <w:rFonts w:ascii="宋体" w:eastAsia="宋体"/>
        </w:rPr>
      </w:pPr>
      <w:r>
        <w:rPr>
          <w:rFonts w:hint="eastAsia" w:ascii="宋体" w:eastAsia="宋体"/>
        </w:rPr>
        <w:t>及时清运绿化养护中产生的各种垃圾，对砾石砖块、干枝枯叶等应做到日产日清，不过夜、不焚烧。</w:t>
      </w:r>
    </w:p>
    <w:p>
      <w:pPr>
        <w:pStyle w:val="65"/>
        <w:spacing w:before="0" w:beforeLines="0" w:after="0" w:afterLines="0"/>
        <w:rPr>
          <w:rFonts w:ascii="宋体" w:eastAsia="宋体"/>
        </w:rPr>
      </w:pPr>
      <w:r>
        <w:rPr>
          <w:rFonts w:hint="eastAsia" w:ascii="宋体" w:eastAsia="宋体"/>
        </w:rPr>
        <w:t>应保持树池、花坛、绿地等内边缘土壤均匀，低于路沿或道路5</w:t>
      </w:r>
      <w:r>
        <w:rPr>
          <w:rFonts w:ascii="宋体" w:eastAsia="宋体"/>
        </w:rPr>
        <w:t>cm</w:t>
      </w:r>
      <w:r>
        <w:rPr>
          <w:rFonts w:hint="eastAsia" w:ascii="宋体" w:eastAsia="宋体"/>
        </w:rPr>
        <w:t>左右。</w:t>
      </w:r>
    </w:p>
    <w:p>
      <w:pPr>
        <w:pStyle w:val="65"/>
        <w:spacing w:before="0" w:beforeLines="0" w:after="0" w:afterLines="0"/>
        <w:rPr>
          <w:rFonts w:ascii="宋体" w:eastAsia="宋体"/>
        </w:rPr>
      </w:pPr>
      <w:r>
        <w:rPr>
          <w:rFonts w:hint="eastAsia" w:ascii="宋体" w:eastAsia="宋体"/>
        </w:rPr>
        <w:t>室内绿植、景观小品还应保持叶面清洁，无烟头等垃圾，按服务合同要求定期更换。</w:t>
      </w:r>
    </w:p>
    <w:p>
      <w:pPr>
        <w:pStyle w:val="65"/>
        <w:spacing w:before="0" w:beforeLines="0" w:after="0" w:afterLines="0"/>
        <w:rPr>
          <w:rFonts w:ascii="宋体" w:eastAsia="宋体"/>
        </w:rPr>
      </w:pPr>
      <w:r>
        <w:rPr>
          <w:rFonts w:hint="eastAsia" w:ascii="宋体" w:eastAsia="宋体"/>
        </w:rPr>
        <w:t>养护过程中，应适时开展现场质量检查，包括植物的观赏状态、生长情况、绿化附属架构的牢固安全性，补光、灌溉装置运行是否正常以及服务人员养护水平等。</w:t>
      </w:r>
    </w:p>
    <w:p>
      <w:pPr>
        <w:pStyle w:val="65"/>
        <w:spacing w:before="0" w:beforeLines="0" w:after="0" w:afterLines="0"/>
        <w:rPr>
          <w:rFonts w:ascii="宋体" w:eastAsia="宋体"/>
        </w:rPr>
      </w:pPr>
      <w:r>
        <w:rPr>
          <w:rFonts w:hint="eastAsia" w:ascii="宋体" w:eastAsia="宋体"/>
        </w:rPr>
        <w:t>绿化养护监督检查工作应做好记录，对不符合要求的，应按照养护要求进行整改。</w:t>
      </w:r>
    </w:p>
    <w:p>
      <w:pPr>
        <w:pStyle w:val="104"/>
        <w:spacing w:before="312" w:after="312"/>
      </w:pPr>
      <w:bookmarkStart w:id="118" w:name="_Toc133224291"/>
      <w:bookmarkStart w:id="119" w:name="_Toc132119245"/>
      <w:bookmarkStart w:id="120" w:name="_Toc132101796"/>
      <w:bookmarkStart w:id="121" w:name="_Toc133224182"/>
      <w:bookmarkStart w:id="122" w:name="_Toc132275436"/>
      <w:bookmarkStart w:id="123" w:name="_Toc132121099"/>
      <w:bookmarkStart w:id="124" w:name="_Toc155102551"/>
      <w:bookmarkStart w:id="125" w:name="_Toc132207985"/>
      <w:r>
        <w:rPr>
          <w:rFonts w:hint="eastAsia"/>
        </w:rPr>
        <w:t>房屋与设施设备维护</w:t>
      </w:r>
    </w:p>
    <w:p>
      <w:pPr>
        <w:pStyle w:val="105"/>
        <w:spacing w:before="156" w:after="156"/>
        <w:ind w:left="0"/>
      </w:pPr>
      <w:r>
        <w:rPr>
          <w:rFonts w:hint="eastAsia"/>
        </w:rPr>
        <w:t>房屋主体维护</w:t>
      </w:r>
    </w:p>
    <w:p>
      <w:pPr>
        <w:pStyle w:val="65"/>
        <w:spacing w:before="0" w:beforeLines="0" w:after="0" w:afterLines="0"/>
        <w:rPr>
          <w:rFonts w:ascii="宋体" w:eastAsia="宋体"/>
        </w:rPr>
      </w:pPr>
      <w:r>
        <w:rPr>
          <w:rFonts w:hint="eastAsia" w:ascii="宋体" w:eastAsia="宋体"/>
        </w:rPr>
        <w:t>应建立房屋维护管理规程，保持所辖项目房屋管理权责清晰，实现房产保值增值。根据合同约定及授权，做好日常养护及修缮，健全房屋档案资料管理，保持房屋安全使用，功能完好。</w:t>
      </w:r>
    </w:p>
    <w:p>
      <w:pPr>
        <w:pStyle w:val="165"/>
      </w:pPr>
      <w:r>
        <w:rPr>
          <w:rFonts w:hint="eastAsia"/>
        </w:rPr>
        <w:t>建立建筑物巡查机制，定期检查房屋的使用状况，如外墙、屋檐、阳台、雨罩、门窗玻璃、管井、室外支撑构件、天台相关设施设备以及标识和安全警示等，在汛前及强风强降雨前后加强建筑外墙、房屋防水和落水管等重点部位的巡查，发现安全隐患及时做好安全防护措施并上报。</w:t>
      </w:r>
    </w:p>
    <w:p>
      <w:pPr>
        <w:pStyle w:val="165"/>
      </w:pPr>
      <w:r>
        <w:rPr>
          <w:rFonts w:hint="eastAsia"/>
        </w:rPr>
        <w:t>应制定房屋的年度大中修计划。在</w:t>
      </w:r>
      <w:r>
        <w:t>巡查中发现损坏需要维修时，在保修期内</w:t>
      </w:r>
      <w:r>
        <w:rPr>
          <w:rFonts w:hint="eastAsia"/>
        </w:rPr>
        <w:t>的应</w:t>
      </w:r>
      <w:r>
        <w:t>及时</w:t>
      </w:r>
      <w:r>
        <w:rPr>
          <w:rFonts w:hint="eastAsia"/>
        </w:rPr>
        <w:t>报告，并联系相关单位进行维修，超出保修期的应配合物业管理或使用单位提出合理的解决方案。</w:t>
      </w:r>
    </w:p>
    <w:p>
      <w:pPr>
        <w:pStyle w:val="105"/>
        <w:spacing w:before="156" w:after="156"/>
        <w:ind w:left="0"/>
      </w:pPr>
      <w:r>
        <w:rPr>
          <w:rFonts w:hint="eastAsia" w:hAnsi="黑体" w:cs="黑体"/>
        </w:rPr>
        <w:t>设施设备</w:t>
      </w:r>
      <w:r>
        <w:rPr>
          <w:rFonts w:hint="eastAsia"/>
        </w:rPr>
        <w:t>维护</w:t>
      </w:r>
    </w:p>
    <w:p>
      <w:pPr>
        <w:pStyle w:val="65"/>
        <w:spacing w:before="0" w:beforeLines="0" w:after="0" w:afterLines="0"/>
        <w:rPr>
          <w:rFonts w:ascii="宋体" w:eastAsia="宋体"/>
        </w:rPr>
      </w:pPr>
      <w:r>
        <w:rPr>
          <w:rFonts w:hint="eastAsia" w:ascii="宋体" w:eastAsia="宋体"/>
        </w:rPr>
        <w:t>应建立设施设备台账并定期更新，根据设施设备的运行状况制定年度维护保养计划。</w:t>
      </w:r>
    </w:p>
    <w:p>
      <w:pPr>
        <w:pStyle w:val="65"/>
        <w:spacing w:before="0" w:beforeLines="0" w:after="0" w:afterLines="0"/>
        <w:rPr>
          <w:rFonts w:ascii="宋体" w:eastAsia="宋体"/>
        </w:rPr>
      </w:pPr>
      <w:r>
        <w:rPr>
          <w:rFonts w:hint="eastAsia" w:ascii="宋体" w:eastAsia="宋体"/>
        </w:rPr>
        <w:t>应具备设施设备安全、稳定运行的环境和场所，具备防雷电、防火灾、防洪涝、防日晒、防高温、防潮湿、防腐蚀、防噪音等功能，温湿度、照度、粉尘和烟雾浓度符合相关安全规范。</w:t>
      </w:r>
    </w:p>
    <w:p>
      <w:pPr>
        <w:pStyle w:val="65"/>
        <w:spacing w:before="0" w:beforeLines="0" w:after="0" w:afterLines="0"/>
        <w:rPr>
          <w:rFonts w:ascii="宋体" w:eastAsia="宋体"/>
        </w:rPr>
      </w:pPr>
      <w:r>
        <w:rPr>
          <w:rFonts w:hint="eastAsia" w:ascii="宋体" w:eastAsia="宋体"/>
        </w:rPr>
        <w:t>设备机房应设有安全责任人和管理人，定期巡视，每日不少于1次，宜应用现场可视化管理技术。设备机房应保持门锁完好并处于锁闭状态，环境干净整洁、不堆放杂物，标识齐全，工具、器具等物品摆放有序，上墙制度、保养、维修、运行、巡视、外来人员登记等记录完备、配有应急照明、防鼠设施，消防器材配备齐全且在有效期内。</w:t>
      </w:r>
    </w:p>
    <w:p>
      <w:pPr>
        <w:pStyle w:val="165"/>
      </w:pPr>
      <w:r>
        <w:rPr>
          <w:rFonts w:hint="eastAsia"/>
        </w:rPr>
        <w:t>应根据设施设备管理的需要，对重点设施设备进行巡检，设定巡检范围、巡检周期、巡检内容和巡检标准，按要求如实记录设施设备运行参数及运行状况，发现问题及时向物业管理或使用单位报告，安排专项维修，并做好相关维修记录。涉及第三方的维修，物业服务企业要做好现场监管。</w:t>
      </w:r>
    </w:p>
    <w:p>
      <w:pPr>
        <w:pStyle w:val="165"/>
      </w:pPr>
      <w:r>
        <w:rPr>
          <w:rFonts w:hint="eastAsia"/>
        </w:rPr>
        <w:t>定期对现场危险源和环境因素进行风险识别与管理，针对潜在风险制定相适应的预防措施和应急预案。</w:t>
      </w:r>
    </w:p>
    <w:p>
      <w:pPr>
        <w:pStyle w:val="65"/>
        <w:spacing w:before="0" w:beforeLines="0" w:after="0" w:afterLines="0"/>
        <w:rPr>
          <w:rFonts w:ascii="宋体" w:eastAsia="宋体"/>
        </w:rPr>
      </w:pPr>
      <w:r>
        <w:rPr>
          <w:rFonts w:hint="eastAsia" w:ascii="宋体" w:eastAsia="宋体"/>
        </w:rPr>
        <w:t>相关设施设备管理及维护还应符合以下要求，包括：</w:t>
      </w:r>
    </w:p>
    <w:p>
      <w:pPr>
        <w:pStyle w:val="65"/>
        <w:numPr>
          <w:ilvl w:val="3"/>
          <w:numId w:val="0"/>
        </w:numPr>
        <w:spacing w:before="0" w:beforeLines="0" w:after="0" w:afterLines="0"/>
        <w:ind w:left="840" w:leftChars="200" w:hanging="420" w:hangingChars="200"/>
        <w:rPr>
          <w:rFonts w:ascii="宋体" w:eastAsia="宋体"/>
        </w:rPr>
      </w:pPr>
      <w:r>
        <w:rPr>
          <w:rFonts w:hint="eastAsia" w:ascii="宋体" w:hAnsi="宋体" w:eastAsia="宋体" w:cs="宋体"/>
        </w:rPr>
        <w:t>——供配电室应配置检测器具及安全防护用品，</w:t>
      </w:r>
      <w:r>
        <w:rPr>
          <w:rFonts w:hint="eastAsia" w:ascii="宋体" w:eastAsia="宋体"/>
        </w:rPr>
        <w:t>并处于完好使用状态及在检测合格有效期内；供电设备至少每两年一次经由具有相关资质的第三方进行检测并出具预防性电气试验报告；</w:t>
      </w:r>
    </w:p>
    <w:p>
      <w:pPr>
        <w:pStyle w:val="56"/>
        <w:ind w:left="840" w:leftChars="200" w:hanging="420" w:hangingChars="200"/>
      </w:pPr>
      <w:r>
        <w:rPr>
          <w:rFonts w:hint="eastAsia"/>
        </w:rPr>
        <w:t>——消防系统每年应由具有相关资质的检测机构进行检测并出具建筑消防设施检测报告；</w:t>
      </w:r>
    </w:p>
    <w:p>
      <w:pPr>
        <w:pStyle w:val="56"/>
        <w:ind w:left="840" w:leftChars="200" w:hanging="420" w:hangingChars="200"/>
      </w:pPr>
      <w:r>
        <w:rPr>
          <w:rFonts w:hint="eastAsia"/>
        </w:rPr>
        <w:t>——每季度对二次供水储水设施清洗消毒1次，委托水质检测机构对水质进行检测，饮用水应符合国家要求；</w:t>
      </w:r>
    </w:p>
    <w:p>
      <w:pPr>
        <w:pStyle w:val="56"/>
        <w:ind w:left="840" w:leftChars="200" w:hanging="420" w:hangingChars="200"/>
      </w:pPr>
      <w:r>
        <w:rPr>
          <w:rFonts w:hint="eastAsia"/>
        </w:rPr>
        <w:t>——电梯轿厢显著位置应标明电梯使用标志、安全注意事项、电梯使用管理、应急救援电话等信息。</w:t>
      </w:r>
    </w:p>
    <w:p>
      <w:pPr>
        <w:pStyle w:val="65"/>
        <w:spacing w:before="0" w:beforeLines="0" w:after="0" w:afterLines="0"/>
        <w:rPr>
          <w:rFonts w:ascii="宋体" w:hAnsi="宋体" w:eastAsia="宋体" w:cs="宋体"/>
        </w:rPr>
      </w:pPr>
      <w:r>
        <w:rPr>
          <w:rFonts w:hint="eastAsia" w:ascii="宋体" w:hAnsi="宋体" w:eastAsia="宋体" w:cs="宋体"/>
        </w:rPr>
        <w:t>电梯、锅炉、压力管道、机械式停车设备等特种设备应委托取得相应资质及许可的专业性机构进行维修养护，物业服务企业对其监督并进行日常管理。</w:t>
      </w:r>
    </w:p>
    <w:p>
      <w:pPr>
        <w:pStyle w:val="105"/>
        <w:spacing w:before="156" w:after="156"/>
        <w:ind w:left="0"/>
      </w:pPr>
      <w:bookmarkStart w:id="126" w:name="_Toc155102553"/>
      <w:bookmarkStart w:id="127" w:name="_Toc132207986"/>
      <w:bookmarkStart w:id="128" w:name="_Toc132121100"/>
      <w:bookmarkStart w:id="129" w:name="_Toc133224183"/>
      <w:bookmarkStart w:id="130" w:name="_Toc132101797"/>
      <w:bookmarkStart w:id="131" w:name="_Toc132119246"/>
      <w:bookmarkStart w:id="132" w:name="_Toc132275437"/>
      <w:bookmarkStart w:id="133" w:name="_Toc133224292"/>
      <w:r>
        <w:rPr>
          <w:rFonts w:hint="eastAsia"/>
        </w:rPr>
        <w:t>办公区域维修</w:t>
      </w:r>
      <w:bookmarkEnd w:id="126"/>
    </w:p>
    <w:p>
      <w:pPr>
        <w:pStyle w:val="165"/>
      </w:pPr>
      <w:r>
        <w:rPr>
          <w:rFonts w:hint="eastAsia"/>
        </w:rPr>
        <w:t>应负责党政机关办公区域内的小型维修，包括</w:t>
      </w:r>
      <w:r>
        <w:t>修复或排除房屋及公用设施的轻微破损</w:t>
      </w:r>
      <w:r>
        <w:rPr>
          <w:rFonts w:hint="eastAsia"/>
        </w:rPr>
        <w:t>或</w:t>
      </w:r>
      <w:r>
        <w:t>小故障。</w:t>
      </w:r>
    </w:p>
    <w:p>
      <w:pPr>
        <w:pStyle w:val="165"/>
      </w:pPr>
      <w:r>
        <w:rPr>
          <w:rFonts w:hint="eastAsia"/>
        </w:rPr>
        <w:t>建立报修维修服务管理制度，规定报修流程、维修时效和服务承诺，日常维修及时处置率不低于95%，维修合格率应达到100%。</w:t>
      </w:r>
    </w:p>
    <w:p>
      <w:pPr>
        <w:pStyle w:val="165"/>
      </w:pPr>
      <w:r>
        <w:rPr>
          <w:rFonts w:hint="eastAsia"/>
        </w:rPr>
        <w:t>合同约定范围内的日常维修应在规定时间内完成，并</w:t>
      </w:r>
      <w:r>
        <w:t>做好记录，</w:t>
      </w:r>
      <w:r>
        <w:rPr>
          <w:rFonts w:hint="eastAsia"/>
        </w:rPr>
        <w:t>涉及客户报修的</w:t>
      </w:r>
      <w:r>
        <w:t>项目</w:t>
      </w:r>
      <w:r>
        <w:rPr>
          <w:rFonts w:hint="eastAsia"/>
        </w:rPr>
        <w:t>还</w:t>
      </w:r>
      <w:r>
        <w:t>应进行回访，并做好回访记录。</w:t>
      </w:r>
    </w:p>
    <w:bookmarkEnd w:id="118"/>
    <w:bookmarkEnd w:id="119"/>
    <w:bookmarkEnd w:id="120"/>
    <w:bookmarkEnd w:id="121"/>
    <w:bookmarkEnd w:id="122"/>
    <w:bookmarkEnd w:id="123"/>
    <w:bookmarkEnd w:id="124"/>
    <w:bookmarkEnd w:id="125"/>
    <w:bookmarkEnd w:id="127"/>
    <w:bookmarkEnd w:id="128"/>
    <w:bookmarkEnd w:id="129"/>
    <w:bookmarkEnd w:id="130"/>
    <w:bookmarkEnd w:id="131"/>
    <w:bookmarkEnd w:id="132"/>
    <w:bookmarkEnd w:id="133"/>
    <w:p>
      <w:pPr>
        <w:pStyle w:val="104"/>
        <w:spacing w:before="312" w:after="312"/>
      </w:pPr>
      <w:bookmarkStart w:id="134" w:name="_Toc155991661"/>
      <w:bookmarkStart w:id="135" w:name="_Toc156071637"/>
      <w:bookmarkStart w:id="136" w:name="_Toc132275438"/>
      <w:bookmarkStart w:id="137" w:name="_Toc132119247"/>
      <w:bookmarkStart w:id="138" w:name="_Toc155102949"/>
      <w:bookmarkStart w:id="139" w:name="_Toc132207987"/>
      <w:bookmarkStart w:id="140" w:name="_Toc133224293"/>
      <w:bookmarkStart w:id="141" w:name="_Toc155102555"/>
      <w:bookmarkStart w:id="142" w:name="_Toc132121101"/>
      <w:bookmarkStart w:id="143" w:name="_Toc132101798"/>
      <w:bookmarkStart w:id="144" w:name="_Toc133224184"/>
      <w:r>
        <w:rPr>
          <w:rFonts w:hint="eastAsia"/>
        </w:rPr>
        <w:t>会务服务</w:t>
      </w:r>
      <w:bookmarkEnd w:id="134"/>
      <w:bookmarkEnd w:id="135"/>
    </w:p>
    <w:p>
      <w:pPr>
        <w:pStyle w:val="162"/>
        <w:ind w:left="0"/>
      </w:pPr>
      <w:r>
        <w:rPr>
          <w:rFonts w:hint="eastAsia"/>
        </w:rPr>
        <w:t>服务人员应遵守会议管理制度，明确岗位职责，严格执行会议操作流程和服务规范；涉密会议环境应符合保密安全要求，服务人员应遵守保密规定。</w:t>
      </w:r>
    </w:p>
    <w:p>
      <w:pPr>
        <w:pStyle w:val="162"/>
        <w:ind w:left="0"/>
      </w:pPr>
      <w:r>
        <w:rPr>
          <w:rFonts w:hint="eastAsia"/>
        </w:rPr>
        <w:t>会务服务人员仪容、仪表应自然得体、庄重大方；着装配饰的颜色款式统一；站姿、坐姿、行姿、引导等应符合要求，且使用规范服务用语。</w:t>
      </w:r>
    </w:p>
    <w:p>
      <w:pPr>
        <w:pStyle w:val="162"/>
        <w:ind w:left="0"/>
      </w:pPr>
      <w:r>
        <w:rPr>
          <w:rFonts w:hint="eastAsia"/>
        </w:rPr>
        <w:t>会议召开前应做好设施设备的检查工作，邀请技术人员对设备进行调试，确保投影、音响、电脑等视频、音频设备能正常使用，策划好突发事件应急预案。</w:t>
      </w:r>
    </w:p>
    <w:p>
      <w:pPr>
        <w:pStyle w:val="162"/>
        <w:ind w:left="0"/>
      </w:pPr>
      <w:r>
        <w:rPr>
          <w:rFonts w:hint="eastAsia"/>
        </w:rPr>
        <w:t>会场布置和会议服务要求可按照DB42</w:t>
      </w:r>
      <w:r>
        <w:t>/</w:t>
      </w:r>
      <w:r>
        <w:rPr>
          <w:rFonts w:hint="eastAsia"/>
        </w:rPr>
        <w:t>T 1487执行。</w:t>
      </w:r>
    </w:p>
    <w:p>
      <w:pPr>
        <w:pStyle w:val="162"/>
        <w:ind w:left="0"/>
      </w:pPr>
      <w:r>
        <w:rPr>
          <w:rFonts w:hint="eastAsia"/>
        </w:rPr>
        <w:t>会后检查有无遗留物，关闭会议设备，并按要求将会议使用的物品集中收集、归还，会议资料做好妥善处理。</w:t>
      </w:r>
    </w:p>
    <w:p>
      <w:pPr>
        <w:pStyle w:val="162"/>
        <w:ind w:left="0"/>
      </w:pPr>
      <w:r>
        <w:rPr>
          <w:rFonts w:hint="eastAsia"/>
        </w:rPr>
        <w:t>完善会议服务记录并做好归档，及时做好满意度收集；同时对新的或潜在需求进行分析，识别改进机会。</w:t>
      </w:r>
    </w:p>
    <w:p>
      <w:pPr>
        <w:pStyle w:val="104"/>
        <w:spacing w:before="312" w:after="312"/>
      </w:pPr>
      <w:bookmarkStart w:id="145" w:name="_Toc155991662"/>
      <w:bookmarkStart w:id="146" w:name="_Toc156071638"/>
      <w:r>
        <w:rPr>
          <w:rFonts w:hint="eastAsia"/>
        </w:rPr>
        <w:t>应急安全</w:t>
      </w:r>
      <w:bookmarkEnd w:id="136"/>
      <w:bookmarkEnd w:id="137"/>
      <w:bookmarkEnd w:id="138"/>
      <w:bookmarkEnd w:id="139"/>
      <w:bookmarkEnd w:id="140"/>
      <w:bookmarkEnd w:id="141"/>
      <w:bookmarkEnd w:id="142"/>
      <w:bookmarkEnd w:id="143"/>
      <w:bookmarkEnd w:id="144"/>
      <w:r>
        <w:rPr>
          <w:rFonts w:hint="eastAsia"/>
        </w:rPr>
        <w:t>管理</w:t>
      </w:r>
      <w:bookmarkEnd w:id="145"/>
      <w:bookmarkEnd w:id="146"/>
    </w:p>
    <w:p>
      <w:pPr>
        <w:pStyle w:val="162"/>
        <w:ind w:left="0"/>
      </w:pPr>
      <w:r>
        <w:rPr>
          <w:rFonts w:hint="eastAsia"/>
        </w:rPr>
        <w:t>应建立并实施物业服务的全员、全过程、全方位的应急管理责任制度，明确应急组织体系、组织形式、人员职责等内容。</w:t>
      </w:r>
    </w:p>
    <w:p>
      <w:pPr>
        <w:pStyle w:val="162"/>
        <w:ind w:left="0"/>
      </w:pPr>
      <w:r>
        <w:rPr>
          <w:rFonts w:hint="eastAsia"/>
        </w:rPr>
        <w:t>应成立应急安全救援队伍，定期对救援人员进行培训，确保应急救援人员具备必要的专业知识、技能、身体素质和心理素质。</w:t>
      </w:r>
    </w:p>
    <w:p>
      <w:pPr>
        <w:pStyle w:val="162"/>
        <w:ind w:left="0"/>
      </w:pPr>
      <w:r>
        <w:rPr>
          <w:rFonts w:hint="eastAsia"/>
        </w:rPr>
        <w:t>应制定和健全突发事件应急预案及联动机制，包括但不限于渍水、火灾、交通事故、被盗等治安事件、电梯困人、突发停水（电）、大风/雨雪等恶劣天气、设施设备突发故障应急处置、涉众事件、公共卫生安全等。</w:t>
      </w:r>
    </w:p>
    <w:p>
      <w:pPr>
        <w:pStyle w:val="162"/>
        <w:ind w:left="0"/>
      </w:pPr>
      <w:r>
        <w:rPr>
          <w:rFonts w:hint="eastAsia"/>
        </w:rPr>
        <w:t>应定期盘点、更新应急救援物资，确保处于正常使用状态，完善应急储备体系。</w:t>
      </w:r>
    </w:p>
    <w:p>
      <w:pPr>
        <w:pStyle w:val="162"/>
        <w:ind w:left="0"/>
      </w:pPr>
      <w:r>
        <w:rPr>
          <w:rFonts w:hint="eastAsia"/>
        </w:rPr>
        <w:t>每年组织不少于</w:t>
      </w:r>
      <w:r>
        <w:t>2</w:t>
      </w:r>
      <w:r>
        <w:rPr>
          <w:rFonts w:hint="eastAsia"/>
        </w:rPr>
        <w:t>次的消防演练，对演练效果进行总结评价，并对演练方案进行适时修订。</w:t>
      </w:r>
    </w:p>
    <w:p>
      <w:pPr>
        <w:pStyle w:val="162"/>
        <w:ind w:left="0"/>
      </w:pPr>
      <w:r>
        <w:rPr>
          <w:rFonts w:hint="eastAsia"/>
        </w:rPr>
        <w:t>定期开展消防及安全隐患排查，可采取日检、月检、季检等，做好巡查记录，保证设施设备的正常使用，保证消防通道的畅通。</w:t>
      </w:r>
    </w:p>
    <w:p>
      <w:pPr>
        <w:pStyle w:val="162"/>
        <w:ind w:left="0"/>
      </w:pPr>
      <w:r>
        <w:rPr>
          <w:rFonts w:hint="eastAsia"/>
        </w:rPr>
        <w:t>消防控制室的设置应符合</w:t>
      </w:r>
      <w:r>
        <w:t>GB 25506</w:t>
      </w:r>
      <w:r>
        <w:rPr>
          <w:rFonts w:hint="eastAsia"/>
        </w:rPr>
        <w:t>的相关要求。消防控制室应实行2</w:t>
      </w:r>
      <w:r>
        <w:t>4h</w:t>
      </w:r>
      <w:r>
        <w:rPr>
          <w:rFonts w:hint="eastAsia"/>
        </w:rPr>
        <w:t>值班，每班次值班人员不少于</w:t>
      </w:r>
      <w:r>
        <w:t>2</w:t>
      </w:r>
      <w:r>
        <w:rPr>
          <w:rFonts w:hint="eastAsia"/>
        </w:rPr>
        <w:t>人。</w:t>
      </w:r>
    </w:p>
    <w:p>
      <w:pPr>
        <w:pStyle w:val="162"/>
        <w:ind w:left="0"/>
      </w:pPr>
      <w:r>
        <w:rPr>
          <w:rFonts w:hint="eastAsia"/>
        </w:rPr>
        <w:t>消防安全应急应参照</w:t>
      </w:r>
      <w:r>
        <w:t>GB/T 40248</w:t>
      </w:r>
      <w:r>
        <w:rPr>
          <w:rFonts w:hint="eastAsia"/>
        </w:rPr>
        <w:t>规定的内容执行。</w:t>
      </w:r>
    </w:p>
    <w:p>
      <w:pPr>
        <w:pStyle w:val="104"/>
        <w:spacing w:before="312" w:after="312"/>
      </w:pPr>
      <w:bookmarkStart w:id="147" w:name="_Toc155991663"/>
      <w:bookmarkStart w:id="148" w:name="_Toc156071639"/>
      <w:r>
        <w:rPr>
          <w:rFonts w:hint="eastAsia"/>
        </w:rPr>
        <w:t>信息化服务</w:t>
      </w:r>
      <w:bookmarkEnd w:id="147"/>
      <w:bookmarkEnd w:id="148"/>
    </w:p>
    <w:p>
      <w:pPr>
        <w:pStyle w:val="162"/>
        <w:ind w:left="0"/>
      </w:pPr>
      <w:r>
        <w:rPr>
          <w:rFonts w:hint="eastAsia"/>
        </w:rPr>
        <w:t>应充分利用计算机、通信网络等技术，促进物业管理模式的转型升级，对物业管理服务的流程和内容进行合理、科学、高效的控制和管理。</w:t>
      </w:r>
    </w:p>
    <w:p>
      <w:pPr>
        <w:pStyle w:val="162"/>
        <w:ind w:left="0"/>
      </w:pPr>
      <w:r>
        <w:rPr>
          <w:rFonts w:hint="eastAsia"/>
        </w:rPr>
        <w:t>服务内容可包括数据采集、数据查询、故障上报、数据保护等功能。</w:t>
      </w:r>
    </w:p>
    <w:p>
      <w:pPr>
        <w:pStyle w:val="162"/>
        <w:ind w:left="0"/>
      </w:pPr>
      <w:r>
        <w:rPr>
          <w:rFonts w:hint="eastAsia"/>
        </w:rPr>
        <w:t>物业信息化系统应有专人处理或维护。</w:t>
      </w:r>
    </w:p>
    <w:p>
      <w:pPr>
        <w:pStyle w:val="162"/>
        <w:ind w:left="0"/>
      </w:pPr>
      <w:r>
        <w:rPr>
          <w:rFonts w:hint="eastAsia"/>
        </w:rPr>
        <w:t>设备故障或数据异常时，应及时通过电话、短信等方式预警，并对信息安全采用多重措施做好保障。</w:t>
      </w:r>
    </w:p>
    <w:p>
      <w:pPr>
        <w:pStyle w:val="104"/>
        <w:spacing w:before="312" w:after="312"/>
      </w:pPr>
      <w:r>
        <w:rPr>
          <w:rFonts w:hint="eastAsia"/>
        </w:rPr>
        <w:t>服务监督与改进</w:t>
      </w:r>
    </w:p>
    <w:p>
      <w:pPr>
        <w:pStyle w:val="105"/>
        <w:spacing w:before="156" w:after="156"/>
        <w:ind w:left="0"/>
      </w:pPr>
      <w:r>
        <w:rPr>
          <w:rFonts w:hint="eastAsia"/>
        </w:rPr>
        <w:t>投诉处理</w:t>
      </w:r>
    </w:p>
    <w:p>
      <w:pPr>
        <w:pStyle w:val="165"/>
      </w:pPr>
      <w:r>
        <w:rPr>
          <w:rFonts w:hint="eastAsia"/>
        </w:rPr>
        <w:t>应建立客户投诉及回访机制，明确响应时间和服务承诺，投诉处理程序应符合GB/T 19012 的要求。</w:t>
      </w:r>
    </w:p>
    <w:p>
      <w:pPr>
        <w:pStyle w:val="165"/>
      </w:pPr>
      <w:r>
        <w:rPr>
          <w:rFonts w:hint="eastAsia"/>
        </w:rPr>
        <w:t>应畅通投诉渠道，并安排专人负责处理投诉事宜。</w:t>
      </w:r>
    </w:p>
    <w:p>
      <w:pPr>
        <w:pStyle w:val="165"/>
      </w:pPr>
      <w:r>
        <w:rPr>
          <w:rFonts w:hint="eastAsia"/>
        </w:rPr>
        <w:t>收到投诉后，工作人员应及时表达歉意、耐心倾听，并做好投诉信息的登记。</w:t>
      </w:r>
    </w:p>
    <w:p>
      <w:pPr>
        <w:pStyle w:val="165"/>
      </w:pPr>
      <w:r>
        <w:rPr>
          <w:rFonts w:hint="eastAsia"/>
        </w:rPr>
        <w:t>投诉内容能当场解决的，工作人员应当场解决，不能当场解决的，应核实、调查后通知相关人员限期解决并整改。</w:t>
      </w:r>
    </w:p>
    <w:p>
      <w:pPr>
        <w:pStyle w:val="165"/>
      </w:pPr>
      <w:r>
        <w:rPr>
          <w:rFonts w:hint="eastAsia"/>
        </w:rPr>
        <w:t>投诉处理完毕后，记录应归档，并定期安排回访。</w:t>
      </w:r>
    </w:p>
    <w:p>
      <w:pPr>
        <w:pStyle w:val="105"/>
        <w:spacing w:before="156" w:after="156"/>
        <w:ind w:left="0"/>
      </w:pPr>
      <w:r>
        <w:rPr>
          <w:rFonts w:hint="eastAsia"/>
        </w:rPr>
        <w:t>监督考核</w:t>
      </w:r>
    </w:p>
    <w:p>
      <w:pPr>
        <w:pStyle w:val="165"/>
      </w:pPr>
      <w:r>
        <w:rPr>
          <w:rFonts w:hint="eastAsia"/>
        </w:rPr>
        <w:t>应接收物业管理机构的定期监督检查与考核。</w:t>
      </w:r>
    </w:p>
    <w:p>
      <w:pPr>
        <w:pStyle w:val="165"/>
      </w:pPr>
      <w:r>
        <w:rPr>
          <w:rFonts w:hint="eastAsia"/>
        </w:rPr>
        <w:t>物业服务机构有以下行为之一的，可直接判定为当年考核不合格：</w:t>
      </w:r>
    </w:p>
    <w:p>
      <w:pPr>
        <w:pStyle w:val="132"/>
      </w:pPr>
      <w:r>
        <w:rPr>
          <w:rFonts w:hint="eastAsia"/>
        </w:rPr>
        <w:t>合同约定期间发生责任事故；</w:t>
      </w:r>
    </w:p>
    <w:p>
      <w:pPr>
        <w:pStyle w:val="132"/>
      </w:pPr>
      <w:r>
        <w:rPr>
          <w:rFonts w:hint="eastAsia"/>
        </w:rPr>
        <w:t>服务投诉率较高或满意度较低。</w:t>
      </w:r>
    </w:p>
    <w:p>
      <w:pPr>
        <w:pStyle w:val="165"/>
      </w:pPr>
      <w:r>
        <w:rPr>
          <w:rFonts w:hint="eastAsia"/>
        </w:rPr>
        <w:t>物业管理机构可根据当年考核结果按合同约定的条款进行处理。</w:t>
      </w:r>
    </w:p>
    <w:p>
      <w:pPr>
        <w:pStyle w:val="165"/>
      </w:pPr>
      <w:r>
        <w:rPr>
          <w:rFonts w:hint="eastAsia"/>
        </w:rPr>
        <w:t>考核结果应作为物业服务企业招标的参考指标。</w:t>
      </w:r>
      <w:r>
        <w:t xml:space="preserve">   </w:t>
      </w:r>
    </w:p>
    <w:p>
      <w:pPr>
        <w:pStyle w:val="105"/>
        <w:spacing w:before="156" w:after="156"/>
        <w:ind w:left="0"/>
      </w:pPr>
      <w:r>
        <w:rPr>
          <w:rFonts w:hint="eastAsia"/>
        </w:rPr>
        <w:t>客户评价与改进</w:t>
      </w:r>
    </w:p>
    <w:p>
      <w:pPr>
        <w:pStyle w:val="165"/>
      </w:pPr>
      <w:r>
        <w:rPr>
          <w:rFonts w:hint="eastAsia"/>
        </w:rPr>
        <w:t>每年可采取调查问卷、上门走访、微信回访等方式，开展不少于</w:t>
      </w:r>
      <w:r>
        <w:t>2</w:t>
      </w:r>
      <w:r>
        <w:rPr>
          <w:rFonts w:hint="eastAsia"/>
        </w:rPr>
        <w:t>次的服务满意度调查，征询客户意见的内容应覆盖服务合同中所涉及的所有物业服务内容，调查表表样见附录A。</w:t>
      </w:r>
    </w:p>
    <w:p>
      <w:pPr>
        <w:pStyle w:val="165"/>
      </w:pPr>
      <w:r>
        <w:rPr>
          <w:rFonts w:hint="eastAsia"/>
        </w:rPr>
        <w:t>及时对满意度调查的情况进行汇总、分析，并形成总结报告，对服务对象提出的建议和意见，制定有效改进措施，保持服务的持续改进。</w:t>
      </w:r>
    </w:p>
    <w:p>
      <w:pPr>
        <w:pStyle w:val="104"/>
        <w:numPr>
          <w:ilvl w:val="0"/>
          <w:numId w:val="0"/>
        </w:numPr>
        <w:spacing w:before="312" w:after="312"/>
        <w:jc w:val="center"/>
      </w:pPr>
    </w:p>
    <w:p>
      <w:pPr>
        <w:pStyle w:val="56"/>
        <w:ind w:firstLine="0" w:firstLineChars="0"/>
        <w:sectPr>
          <w:pgSz w:w="11906" w:h="16838"/>
          <w:pgMar w:top="2410" w:right="1134" w:bottom="1134" w:left="1134" w:header="1418" w:footer="1134" w:gutter="284"/>
          <w:pgNumType w:start="1"/>
          <w:cols w:space="425" w:num="1"/>
          <w:formProt w:val="0"/>
          <w:docGrid w:type="lines" w:linePitch="312" w:charSpace="0"/>
        </w:sectPr>
      </w:pPr>
    </w:p>
    <w:bookmarkEnd w:id="33"/>
    <w:p>
      <w:pPr>
        <w:pStyle w:val="199"/>
        <w:rPr>
          <w:vanish w:val="0"/>
        </w:rPr>
      </w:pPr>
      <w:bookmarkStart w:id="149" w:name="BookMark5"/>
    </w:p>
    <w:p>
      <w:pPr>
        <w:pStyle w:val="76"/>
        <w:spacing w:before="78" w:after="156"/>
      </w:pPr>
      <w:r>
        <w:br w:type="textWrapping"/>
      </w:r>
      <w:bookmarkStart w:id="150" w:name="_Toc133224186"/>
      <w:bookmarkStart w:id="151" w:name="_Toc155991665"/>
      <w:bookmarkStart w:id="152" w:name="_Toc156071641"/>
      <w:bookmarkStart w:id="153" w:name="_Toc133224295"/>
      <w:bookmarkStart w:id="154" w:name="_Toc155102557"/>
      <w:bookmarkStart w:id="155" w:name="_Toc155102951"/>
      <w:r>
        <w:rPr>
          <w:rFonts w:hint="eastAsia"/>
        </w:rPr>
        <w:t>（资料性）</w:t>
      </w:r>
      <w:r>
        <w:br w:type="textWrapping"/>
      </w:r>
      <w:r>
        <w:rPr>
          <w:rFonts w:hint="eastAsia"/>
        </w:rPr>
        <w:t>党政机关物业服务满意情况调查表</w:t>
      </w:r>
      <w:bookmarkEnd w:id="150"/>
      <w:bookmarkEnd w:id="151"/>
      <w:bookmarkEnd w:id="152"/>
      <w:bookmarkEnd w:id="153"/>
      <w:bookmarkEnd w:id="154"/>
      <w:bookmarkEnd w:id="155"/>
    </w:p>
    <w:tbl>
      <w:tblPr>
        <w:tblStyle w:val="26"/>
        <w:tblW w:w="1425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08"/>
        <w:gridCol w:w="7081"/>
        <w:gridCol w:w="61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5" w:hRule="atLeast"/>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7081"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kern w:val="0"/>
                <w:sz w:val="18"/>
                <w:szCs w:val="18"/>
              </w:rPr>
            </w:pPr>
            <w:r>
              <w:rPr>
                <w:rFonts w:hint="eastAsia" w:ascii="宋体" w:hAnsi="宋体" w:cs="宋体"/>
                <w:kern w:val="0"/>
                <w:sz w:val="18"/>
                <w:szCs w:val="18"/>
              </w:rPr>
              <w:t>内      容</w:t>
            </w:r>
          </w:p>
        </w:tc>
        <w:tc>
          <w:tcPr>
            <w:tcW w:w="6165"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kern w:val="0"/>
                <w:sz w:val="18"/>
                <w:szCs w:val="18"/>
              </w:rPr>
            </w:pPr>
            <w:r>
              <w:rPr>
                <w:rFonts w:hint="eastAsia" w:ascii="宋体" w:hAnsi="宋体" w:cs="宋体"/>
                <w:kern w:val="0"/>
                <w:sz w:val="18"/>
                <w:szCs w:val="18"/>
              </w:rPr>
              <w:t>满 意 程 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1" w:type="dxa"/>
            <w:tcBorders>
              <w:top w:val="outset" w:color="auto" w:sz="6" w:space="0"/>
              <w:left w:val="outset" w:color="auto" w:sz="6" w:space="0"/>
              <w:bottom w:val="outset" w:color="auto" w:sz="6" w:space="0"/>
              <w:right w:val="outset" w:color="auto" w:sz="6" w:space="0"/>
            </w:tcBorders>
          </w:tcPr>
          <w:p>
            <w:pPr>
              <w:widowControl/>
              <w:ind w:firstLine="900" w:firstLineChars="500"/>
              <w:jc w:val="left"/>
              <w:rPr>
                <w:rFonts w:ascii="宋体" w:hAnsi="宋体" w:cs="宋体"/>
                <w:kern w:val="0"/>
                <w:sz w:val="18"/>
                <w:szCs w:val="18"/>
              </w:rPr>
            </w:pPr>
            <w:r>
              <w:rPr>
                <w:rFonts w:hint="eastAsia" w:ascii="宋体" w:hAnsi="宋体" w:cs="宋体"/>
                <w:kern w:val="0"/>
                <w:sz w:val="18"/>
                <w:szCs w:val="18"/>
              </w:rPr>
              <w:t>物业公司员工的仪表、仪容，文明举止、素养情况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81" w:type="dxa"/>
            <w:tcBorders>
              <w:top w:val="outset" w:color="auto" w:sz="6" w:space="0"/>
              <w:left w:val="outset" w:color="auto" w:sz="6" w:space="0"/>
              <w:bottom w:val="outset" w:color="auto" w:sz="6" w:space="0"/>
              <w:right w:val="outset" w:color="auto" w:sz="6" w:space="0"/>
            </w:tcBorders>
          </w:tcPr>
          <w:p>
            <w:pPr>
              <w:widowControl/>
              <w:ind w:firstLine="1620" w:firstLineChars="900"/>
              <w:jc w:val="left"/>
              <w:rPr>
                <w:rFonts w:ascii="宋体" w:hAnsi="宋体" w:cs="宋体"/>
                <w:kern w:val="0"/>
                <w:sz w:val="18"/>
                <w:szCs w:val="18"/>
              </w:rPr>
            </w:pPr>
            <w:r>
              <w:rPr>
                <w:rFonts w:hint="eastAsia" w:ascii="宋体" w:hAnsi="宋体" w:cs="宋体"/>
                <w:kern w:val="0"/>
                <w:sz w:val="18"/>
                <w:szCs w:val="18"/>
              </w:rPr>
              <w:t>热情为业主服务，便民服务情况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81" w:type="dxa"/>
            <w:tcBorders>
              <w:top w:val="outset" w:color="auto" w:sz="6" w:space="0"/>
              <w:left w:val="outset" w:color="auto" w:sz="6" w:space="0"/>
              <w:bottom w:val="outset" w:color="auto" w:sz="6" w:space="0"/>
              <w:right w:val="outset" w:color="auto" w:sz="6" w:space="0"/>
            </w:tcBorders>
          </w:tcPr>
          <w:p>
            <w:pPr>
              <w:widowControl/>
              <w:ind w:firstLine="1620" w:firstLineChars="900"/>
              <w:jc w:val="left"/>
              <w:rPr>
                <w:rFonts w:ascii="宋体" w:hAnsi="宋体" w:cs="宋体"/>
                <w:kern w:val="0"/>
                <w:sz w:val="18"/>
                <w:szCs w:val="18"/>
              </w:rPr>
            </w:pPr>
            <w:r>
              <w:rPr>
                <w:rFonts w:hint="eastAsia" w:ascii="宋体" w:hAnsi="宋体" w:cs="宋体"/>
                <w:kern w:val="0"/>
                <w:sz w:val="18"/>
                <w:szCs w:val="18"/>
              </w:rPr>
              <w:t>人员在岗情况、值勤服务情况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81" w:type="dxa"/>
            <w:tcBorders>
              <w:top w:val="outset" w:color="auto" w:sz="6" w:space="0"/>
              <w:left w:val="outset" w:color="auto" w:sz="6" w:space="0"/>
              <w:bottom w:val="outset" w:color="auto" w:sz="6" w:space="0"/>
              <w:right w:val="outset" w:color="auto" w:sz="6" w:space="0"/>
            </w:tcBorders>
          </w:tcPr>
          <w:p>
            <w:pPr>
              <w:widowControl/>
              <w:ind w:firstLine="1440" w:firstLineChars="800"/>
              <w:jc w:val="left"/>
              <w:rPr>
                <w:rFonts w:ascii="宋体" w:hAnsi="宋体" w:cs="宋体"/>
                <w:kern w:val="0"/>
                <w:sz w:val="18"/>
                <w:szCs w:val="18"/>
              </w:rPr>
            </w:pPr>
            <w:r>
              <w:rPr>
                <w:rFonts w:hint="eastAsia" w:ascii="宋体" w:hAnsi="宋体" w:cs="宋体"/>
                <w:kern w:val="0"/>
                <w:sz w:val="18"/>
                <w:szCs w:val="18"/>
              </w:rPr>
              <w:t>物业公司业务水平、服务质量情况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81" w:type="dxa"/>
            <w:tcBorders>
              <w:top w:val="outset" w:color="auto" w:sz="6" w:space="0"/>
              <w:left w:val="outset" w:color="auto" w:sz="6" w:space="0"/>
              <w:bottom w:val="outset" w:color="auto" w:sz="6" w:space="0"/>
              <w:right w:val="outset" w:color="auto" w:sz="6" w:space="0"/>
            </w:tcBorders>
          </w:tcPr>
          <w:p>
            <w:pPr>
              <w:widowControl/>
              <w:ind w:firstLine="1800" w:firstLineChars="1000"/>
              <w:jc w:val="left"/>
              <w:rPr>
                <w:rFonts w:ascii="宋体" w:hAnsi="宋体" w:cs="宋体"/>
                <w:kern w:val="0"/>
                <w:sz w:val="18"/>
                <w:szCs w:val="18"/>
              </w:rPr>
            </w:pPr>
            <w:r>
              <w:rPr>
                <w:rFonts w:hint="eastAsia" w:ascii="宋体" w:hAnsi="宋体" w:cs="宋体"/>
                <w:kern w:val="0"/>
                <w:sz w:val="18"/>
                <w:szCs w:val="18"/>
              </w:rPr>
              <w:t>服务区域的消防安全状况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81" w:type="dxa"/>
            <w:tcBorders>
              <w:top w:val="outset" w:color="auto" w:sz="6" w:space="0"/>
              <w:left w:val="outset" w:color="auto" w:sz="6" w:space="0"/>
              <w:bottom w:val="outset" w:color="auto" w:sz="6" w:space="0"/>
              <w:right w:val="outset" w:color="auto" w:sz="6" w:space="0"/>
            </w:tcBorders>
          </w:tcPr>
          <w:p>
            <w:pPr>
              <w:widowControl/>
              <w:ind w:firstLine="1620" w:firstLineChars="900"/>
              <w:jc w:val="left"/>
              <w:rPr>
                <w:rFonts w:ascii="宋体" w:hAnsi="宋体" w:cs="宋体"/>
                <w:kern w:val="0"/>
                <w:sz w:val="18"/>
                <w:szCs w:val="18"/>
              </w:rPr>
            </w:pPr>
            <w:r>
              <w:rPr>
                <w:rFonts w:hint="eastAsia" w:ascii="宋体" w:hAnsi="宋体" w:cs="宋体"/>
                <w:kern w:val="0"/>
                <w:sz w:val="18"/>
                <w:szCs w:val="18"/>
              </w:rPr>
              <w:t>服务区域的电梯使用安全状况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081" w:type="dxa"/>
            <w:tcBorders>
              <w:top w:val="outset" w:color="auto" w:sz="6" w:space="0"/>
              <w:left w:val="outset" w:color="auto" w:sz="6" w:space="0"/>
              <w:bottom w:val="outset" w:color="auto" w:sz="6" w:space="0"/>
              <w:right w:val="outset" w:color="auto" w:sz="6" w:space="0"/>
            </w:tcBorders>
          </w:tcPr>
          <w:p>
            <w:pPr>
              <w:widowControl/>
              <w:ind w:firstLine="1800" w:firstLineChars="1000"/>
              <w:jc w:val="left"/>
              <w:rPr>
                <w:rFonts w:ascii="宋体" w:hAnsi="宋体" w:cs="宋体"/>
                <w:kern w:val="0"/>
                <w:sz w:val="18"/>
                <w:szCs w:val="18"/>
              </w:rPr>
            </w:pPr>
            <w:r>
              <w:rPr>
                <w:rFonts w:hint="eastAsia" w:ascii="宋体" w:hAnsi="宋体" w:cs="宋体"/>
                <w:kern w:val="0"/>
                <w:sz w:val="18"/>
                <w:szCs w:val="18"/>
              </w:rPr>
              <w:t>服务区域的卫生保洁状况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81" w:type="dxa"/>
            <w:tcBorders>
              <w:top w:val="outset" w:color="auto" w:sz="6" w:space="0"/>
              <w:left w:val="outset" w:color="auto" w:sz="6" w:space="0"/>
              <w:bottom w:val="outset" w:color="auto" w:sz="6" w:space="0"/>
              <w:right w:val="outset" w:color="auto" w:sz="6" w:space="0"/>
            </w:tcBorders>
          </w:tcPr>
          <w:p>
            <w:pPr>
              <w:widowControl/>
              <w:ind w:firstLine="1440" w:firstLineChars="800"/>
              <w:jc w:val="left"/>
              <w:rPr>
                <w:rFonts w:ascii="宋体" w:hAnsi="宋体" w:cs="宋体"/>
                <w:kern w:val="0"/>
                <w:sz w:val="18"/>
                <w:szCs w:val="18"/>
              </w:rPr>
            </w:pPr>
            <w:r>
              <w:rPr>
                <w:rFonts w:hint="eastAsia" w:ascii="宋体" w:hAnsi="宋体" w:cs="宋体"/>
                <w:kern w:val="0"/>
                <w:sz w:val="18"/>
                <w:szCs w:val="18"/>
              </w:rPr>
              <w:t>楼宇周边及楼内园林绿化环境情况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081" w:type="dxa"/>
            <w:tcBorders>
              <w:top w:val="outset" w:color="auto" w:sz="6" w:space="0"/>
              <w:left w:val="outset" w:color="auto" w:sz="6" w:space="0"/>
              <w:bottom w:val="outset" w:color="auto" w:sz="6" w:space="0"/>
              <w:right w:val="outset" w:color="auto" w:sz="6" w:space="0"/>
            </w:tcBorders>
          </w:tcPr>
          <w:p>
            <w:pPr>
              <w:widowControl/>
              <w:ind w:firstLine="1440" w:firstLineChars="800"/>
              <w:jc w:val="left"/>
              <w:rPr>
                <w:rFonts w:ascii="宋体" w:hAnsi="宋体" w:cs="宋体"/>
                <w:kern w:val="0"/>
                <w:sz w:val="18"/>
                <w:szCs w:val="18"/>
              </w:rPr>
            </w:pPr>
            <w:r>
              <w:rPr>
                <w:rFonts w:hint="eastAsia" w:ascii="宋体" w:hAnsi="宋体" w:cs="宋体"/>
                <w:kern w:val="0"/>
                <w:sz w:val="18"/>
                <w:szCs w:val="18"/>
              </w:rPr>
              <w:t>服务区域水电设施的维护、维修情况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081" w:type="dxa"/>
            <w:tcBorders>
              <w:top w:val="outset" w:color="auto" w:sz="6" w:space="0"/>
              <w:left w:val="outset" w:color="auto" w:sz="6" w:space="0"/>
              <w:bottom w:val="outset" w:color="auto" w:sz="6" w:space="0"/>
              <w:right w:val="outset" w:color="auto" w:sz="6" w:space="0"/>
            </w:tcBorders>
          </w:tcPr>
          <w:p>
            <w:pPr>
              <w:widowControl/>
              <w:ind w:firstLine="1440" w:firstLineChars="800"/>
              <w:jc w:val="left"/>
              <w:rPr>
                <w:rFonts w:ascii="宋体" w:hAnsi="宋体" w:cs="宋体"/>
                <w:kern w:val="0"/>
                <w:sz w:val="18"/>
                <w:szCs w:val="18"/>
              </w:rPr>
            </w:pPr>
            <w:r>
              <w:rPr>
                <w:rFonts w:hint="eastAsia" w:ascii="宋体" w:hAnsi="宋体" w:cs="宋体"/>
                <w:kern w:val="0"/>
                <w:sz w:val="18"/>
                <w:szCs w:val="18"/>
              </w:rPr>
              <w:t>服务区域安全保卫及车辆秩序维护情况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7081" w:type="dxa"/>
            <w:tcBorders>
              <w:top w:val="outset" w:color="auto" w:sz="6" w:space="0"/>
              <w:left w:val="outset" w:color="auto" w:sz="6" w:space="0"/>
              <w:bottom w:val="outset" w:color="auto" w:sz="6" w:space="0"/>
              <w:right w:val="outset" w:color="auto" w:sz="6" w:space="0"/>
            </w:tcBorders>
          </w:tcPr>
          <w:p>
            <w:pPr>
              <w:widowControl/>
              <w:ind w:firstLine="1800" w:firstLineChars="1000"/>
              <w:jc w:val="left"/>
              <w:rPr>
                <w:rFonts w:ascii="宋体" w:hAnsi="宋体" w:cs="宋体"/>
                <w:kern w:val="0"/>
                <w:sz w:val="18"/>
                <w:szCs w:val="18"/>
              </w:rPr>
            </w:pPr>
            <w:r>
              <w:rPr>
                <w:rFonts w:hint="eastAsia" w:ascii="宋体" w:hAnsi="宋体" w:cs="宋体"/>
                <w:kern w:val="0"/>
                <w:sz w:val="18"/>
                <w:szCs w:val="18"/>
              </w:rPr>
              <w:t>服务区域内会务服务情况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081" w:type="dxa"/>
            <w:tcBorders>
              <w:top w:val="outset" w:color="auto" w:sz="6" w:space="0"/>
              <w:left w:val="outset" w:color="auto" w:sz="6" w:space="0"/>
              <w:bottom w:val="outset" w:color="auto" w:sz="6" w:space="0"/>
              <w:right w:val="outset" w:color="auto" w:sz="6" w:space="0"/>
            </w:tcBorders>
          </w:tcPr>
          <w:p>
            <w:pPr>
              <w:widowControl/>
              <w:ind w:firstLine="1800" w:firstLineChars="1000"/>
              <w:jc w:val="left"/>
              <w:rPr>
                <w:rFonts w:ascii="宋体" w:hAnsi="宋体" w:cs="宋体"/>
                <w:kern w:val="0"/>
                <w:sz w:val="18"/>
                <w:szCs w:val="18"/>
              </w:rPr>
            </w:pPr>
            <w:r>
              <w:rPr>
                <w:rFonts w:hint="eastAsia" w:ascii="宋体" w:hAnsi="宋体" w:cs="宋体"/>
                <w:kern w:val="0"/>
                <w:sz w:val="18"/>
                <w:szCs w:val="18"/>
              </w:rPr>
              <w:t>其他零星维修、急修情况</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7081" w:type="dxa"/>
            <w:tcBorders>
              <w:top w:val="outset" w:color="auto" w:sz="6" w:space="0"/>
              <w:left w:val="outset" w:color="auto" w:sz="6" w:space="0"/>
              <w:bottom w:val="outset" w:color="auto" w:sz="6" w:space="0"/>
              <w:right w:val="outset" w:color="auto" w:sz="6" w:space="0"/>
            </w:tcBorders>
          </w:tcPr>
          <w:p>
            <w:pPr>
              <w:widowControl/>
              <w:ind w:firstLine="1800" w:firstLineChars="1000"/>
              <w:jc w:val="left"/>
              <w:rPr>
                <w:rFonts w:ascii="宋体" w:hAnsi="宋体" w:cs="宋体"/>
                <w:kern w:val="0"/>
                <w:sz w:val="18"/>
                <w:szCs w:val="18"/>
              </w:rPr>
            </w:pPr>
            <w:r>
              <w:rPr>
                <w:rFonts w:hint="eastAsia" w:ascii="宋体" w:hAnsi="宋体" w:cs="宋体"/>
                <w:kern w:val="0"/>
                <w:sz w:val="18"/>
                <w:szCs w:val="18"/>
              </w:rPr>
              <w:t>服务区域重大活动的配合工作</w:t>
            </w:r>
          </w:p>
        </w:tc>
        <w:tc>
          <w:tcPr>
            <w:tcW w:w="6165" w:type="dxa"/>
            <w:tcBorders>
              <w:top w:val="outset" w:color="auto" w:sz="6" w:space="0"/>
              <w:left w:val="outset" w:color="auto" w:sz="6" w:space="0"/>
              <w:bottom w:val="outset" w:color="auto" w:sz="6" w:space="0"/>
              <w:right w:val="outset" w:color="auto" w:sz="6" w:space="0"/>
            </w:tcBorders>
          </w:tcPr>
          <w:p>
            <w:pPr>
              <w:widowControl/>
              <w:ind w:firstLine="720" w:firstLineChars="400"/>
              <w:jc w:val="left"/>
              <w:rPr>
                <w:rFonts w:ascii="宋体" w:hAnsi="宋体" w:cs="宋体"/>
                <w:kern w:val="0"/>
                <w:sz w:val="18"/>
                <w:szCs w:val="18"/>
              </w:rPr>
            </w:pPr>
            <w:r>
              <w:rPr>
                <w:rFonts w:hint="eastAsia" w:ascii="宋体" w:hAnsi="宋体" w:cs="宋体"/>
                <w:kern w:val="0"/>
                <w:sz w:val="18"/>
                <w:szCs w:val="18"/>
              </w:rPr>
              <w:t>满意（    ）基本满意（    ）不满意（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0" w:hRule="atLeast"/>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其它意见</w:t>
            </w:r>
          </w:p>
          <w:p>
            <w:pPr>
              <w:widowControl/>
              <w:jc w:val="center"/>
              <w:rPr>
                <w:rFonts w:ascii="宋体" w:hAnsi="宋体" w:cs="宋体"/>
                <w:kern w:val="0"/>
                <w:sz w:val="18"/>
                <w:szCs w:val="18"/>
              </w:rPr>
            </w:pPr>
            <w:r>
              <w:rPr>
                <w:rFonts w:hint="eastAsia" w:ascii="宋体" w:hAnsi="宋体" w:cs="宋体"/>
                <w:kern w:val="0"/>
                <w:sz w:val="18"/>
                <w:szCs w:val="18"/>
              </w:rPr>
              <w:t>和建议</w:t>
            </w:r>
          </w:p>
        </w:tc>
        <w:tc>
          <w:tcPr>
            <w:tcW w:w="13246" w:type="dxa"/>
            <w:gridSpan w:val="2"/>
            <w:tcBorders>
              <w:top w:val="outset" w:color="auto" w:sz="6" w:space="0"/>
              <w:left w:val="outset" w:color="auto" w:sz="6" w:space="0"/>
              <w:bottom w:val="outset" w:color="auto" w:sz="6" w:space="0"/>
              <w:right w:val="outset" w:color="auto" w:sz="6"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bl>
    <w:p>
      <w:pPr>
        <w:pStyle w:val="56"/>
        <w:ind w:firstLine="0" w:firstLineChars="0"/>
        <w:rPr>
          <w:rFonts w:hAnsi="宋体"/>
        </w:rPr>
        <w:sectPr>
          <w:pgSz w:w="16838" w:h="11906" w:orient="landscape"/>
          <w:pgMar w:top="1134" w:right="2410" w:bottom="1134" w:left="1134" w:header="1418" w:footer="1134" w:gutter="284"/>
          <w:cols w:space="425" w:num="1"/>
          <w:formProt w:val="0"/>
          <w:docGrid w:type="lines" w:linePitch="312" w:charSpace="0"/>
        </w:sectPr>
      </w:pPr>
    </w:p>
    <w:p>
      <w:pPr>
        <w:pStyle w:val="104"/>
        <w:numPr>
          <w:ilvl w:val="0"/>
          <w:numId w:val="0"/>
        </w:numPr>
        <w:spacing w:before="312" w:after="312"/>
        <w:jc w:val="center"/>
      </w:pPr>
      <w:bookmarkStart w:id="156" w:name="_Toc155102952"/>
      <w:bookmarkStart w:id="157" w:name="_Toc155102558"/>
      <w:bookmarkStart w:id="158" w:name="_Toc132207989"/>
      <w:bookmarkStart w:id="159" w:name="_Toc133224296"/>
      <w:bookmarkStart w:id="160" w:name="_Toc132275440"/>
      <w:bookmarkStart w:id="161" w:name="_Toc155991666"/>
      <w:bookmarkStart w:id="162" w:name="_Toc156071642"/>
      <w:bookmarkStart w:id="163" w:name="_Toc133224187"/>
      <w:r>
        <w:rPr>
          <w:rFonts w:hint="eastAsia"/>
        </w:rPr>
        <w:t>参 考 文 献</w:t>
      </w:r>
      <w:bookmarkEnd w:id="156"/>
      <w:bookmarkEnd w:id="157"/>
      <w:bookmarkEnd w:id="158"/>
      <w:bookmarkEnd w:id="159"/>
      <w:bookmarkEnd w:id="160"/>
      <w:bookmarkEnd w:id="161"/>
      <w:bookmarkEnd w:id="162"/>
      <w:bookmarkEnd w:id="163"/>
    </w:p>
    <w:p>
      <w:pPr>
        <w:pStyle w:val="56"/>
        <w:ind w:firstLine="199" w:firstLineChars="95"/>
        <w:rPr>
          <w:rFonts w:hAnsi="宋体"/>
        </w:rPr>
      </w:pPr>
      <w:r>
        <w:rPr>
          <w:rFonts w:hint="eastAsia" w:hAnsi="宋体"/>
        </w:rPr>
        <w:t>[1] 国务院令第379号  物业管理条例</w:t>
      </w:r>
    </w:p>
    <w:p>
      <w:pPr>
        <w:pStyle w:val="56"/>
        <w:ind w:firstLine="199" w:firstLineChars="95"/>
        <w:rPr>
          <w:rFonts w:hAnsi="宋体"/>
        </w:rPr>
      </w:pPr>
      <w:r>
        <w:rPr>
          <w:rFonts w:hint="eastAsia" w:hAnsi="宋体"/>
        </w:rPr>
        <w:t>[2] 中华人民共和国国务院令第564号  保安服务管理条例</w:t>
      </w:r>
    </w:p>
    <w:p>
      <w:pPr>
        <w:pStyle w:val="56"/>
        <w:ind w:firstLine="199" w:firstLineChars="95"/>
        <w:rPr>
          <w:rFonts w:hAnsi="宋体"/>
        </w:rPr>
      </w:pPr>
      <w:r>
        <w:rPr>
          <w:rFonts w:hint="eastAsia" w:hAnsi="宋体"/>
        </w:rPr>
        <w:t>[3] 中华人民共和国国务院令第588号  突发公共卫生事件应急条例</w:t>
      </w:r>
    </w:p>
    <w:p>
      <w:pPr>
        <w:pStyle w:val="198"/>
        <w:numPr>
          <w:ilvl w:val="0"/>
          <w:numId w:val="32"/>
        </w:numPr>
        <w:rPr>
          <w:vanish w:val="0"/>
        </w:rPr>
        <w:sectPr>
          <w:pgSz w:w="11906" w:h="16838"/>
          <w:pgMar w:top="2410" w:right="1134" w:bottom="1134" w:left="1134" w:header="1418" w:footer="1134" w:gutter="284"/>
          <w:cols w:space="425" w:num="1"/>
          <w:formProt w:val="0"/>
          <w:docGrid w:type="lines" w:linePitch="312" w:charSpace="0"/>
        </w:sectPr>
      </w:pPr>
      <w:r>
        <w:rPr>
          <w:rFonts w:hint="eastAsia" w:hAnsi="宋体"/>
        </w:rPr>
        <w:t>[</w:t>
      </w:r>
      <w:r>
        <w:rPr>
          <w:rFonts w:hAnsi="宋体"/>
        </w:rPr>
        <w:t>3</w:t>
      </w:r>
      <w:r>
        <w:rPr>
          <w:rFonts w:hint="eastAsia" w:hAnsi="宋体"/>
        </w:rPr>
        <w:t>]</w:t>
      </w:r>
      <w:r>
        <w:rPr>
          <w:rFonts w:hAnsi="宋体"/>
        </w:rPr>
        <w:t xml:space="preserve"> </w:t>
      </w:r>
      <w:r>
        <w:rPr>
          <w:rFonts w:hint="eastAsia" w:hAnsi="宋体"/>
        </w:rPr>
        <w:t>中华人民共和国国务院令第5</w:t>
      </w:r>
      <w:r>
        <w:rPr>
          <w:rFonts w:hAnsi="宋体"/>
        </w:rPr>
        <w:t>88</w:t>
      </w:r>
      <w:r>
        <w:rPr>
          <w:rFonts w:hint="eastAsia" w:hAnsi="宋体"/>
        </w:rPr>
        <w:t xml:space="preserve">号 </w:t>
      </w:r>
      <w:r>
        <w:rPr>
          <w:rFonts w:hAnsi="宋体"/>
        </w:rPr>
        <w:t xml:space="preserve"> </w:t>
      </w:r>
      <w:r>
        <w:rPr>
          <w:rFonts w:hint="eastAsia" w:hAnsi="宋体"/>
        </w:rPr>
        <w:t>突发公共卫生事件应急条例</w:t>
      </w:r>
    </w:p>
    <w:bookmarkEnd w:id="149"/>
    <w:p>
      <w:pPr>
        <w:pStyle w:val="56"/>
        <w:ind w:firstLine="0" w:firstLineChars="0"/>
        <w:jc w:val="center"/>
      </w:pPr>
      <w:bookmarkStart w:id="164"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4"/>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v/z6CD5xqk9Y6sWGmgUH/ngXdbhopA9eKOn59Pae1kVGbHQ0GzgI5n19NeNNFcz3lswatl5LQCaDQBnEu7XjRA==" w:salt="TIrGdl08H5QuIWHYW6jYIg=="/>
  <w:defaultTabStop w:val="42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GRkMTlhNDUyMDQwNzZhMjFhOGM4NDAzZTRiZDVmZDgifQ=="/>
  </w:docVars>
  <w:rsids>
    <w:rsidRoot w:val="00842172"/>
    <w:rsid w:val="0000040A"/>
    <w:rsid w:val="00000A94"/>
    <w:rsid w:val="00001972"/>
    <w:rsid w:val="00001D9A"/>
    <w:rsid w:val="00004BB3"/>
    <w:rsid w:val="00007674"/>
    <w:rsid w:val="00007B3A"/>
    <w:rsid w:val="00010030"/>
    <w:rsid w:val="000107E0"/>
    <w:rsid w:val="00011FDE"/>
    <w:rsid w:val="00012FFD"/>
    <w:rsid w:val="00014162"/>
    <w:rsid w:val="00014340"/>
    <w:rsid w:val="00016A9C"/>
    <w:rsid w:val="00022184"/>
    <w:rsid w:val="00022762"/>
    <w:rsid w:val="000234CE"/>
    <w:rsid w:val="000238E0"/>
    <w:rsid w:val="000249DB"/>
    <w:rsid w:val="0002595E"/>
    <w:rsid w:val="000261FB"/>
    <w:rsid w:val="000303C3"/>
    <w:rsid w:val="000331D3"/>
    <w:rsid w:val="000346A5"/>
    <w:rsid w:val="000359C3"/>
    <w:rsid w:val="00035A7D"/>
    <w:rsid w:val="000365ED"/>
    <w:rsid w:val="0004249A"/>
    <w:rsid w:val="00043282"/>
    <w:rsid w:val="00044286"/>
    <w:rsid w:val="00047F28"/>
    <w:rsid w:val="000503AA"/>
    <w:rsid w:val="000506A1"/>
    <w:rsid w:val="000515DD"/>
    <w:rsid w:val="00051BDF"/>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503"/>
    <w:rsid w:val="00077B64"/>
    <w:rsid w:val="00080A1C"/>
    <w:rsid w:val="00082317"/>
    <w:rsid w:val="00083D2C"/>
    <w:rsid w:val="0008529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F78"/>
    <w:rsid w:val="000A7311"/>
    <w:rsid w:val="000B060F"/>
    <w:rsid w:val="000B1592"/>
    <w:rsid w:val="000B1720"/>
    <w:rsid w:val="000B1FF2"/>
    <w:rsid w:val="000B3CDA"/>
    <w:rsid w:val="000B6A0B"/>
    <w:rsid w:val="000B7E5D"/>
    <w:rsid w:val="000C0F6C"/>
    <w:rsid w:val="000C11DB"/>
    <w:rsid w:val="000C1492"/>
    <w:rsid w:val="000C2FBD"/>
    <w:rsid w:val="000C4B41"/>
    <w:rsid w:val="000C55E4"/>
    <w:rsid w:val="000C57D6"/>
    <w:rsid w:val="000C6362"/>
    <w:rsid w:val="000C7666"/>
    <w:rsid w:val="000D0A9C"/>
    <w:rsid w:val="000D1795"/>
    <w:rsid w:val="000D1BEA"/>
    <w:rsid w:val="000D329A"/>
    <w:rsid w:val="000D4B9C"/>
    <w:rsid w:val="000D4EB6"/>
    <w:rsid w:val="000D753B"/>
    <w:rsid w:val="000E4C9E"/>
    <w:rsid w:val="000E6FD7"/>
    <w:rsid w:val="000F06E1"/>
    <w:rsid w:val="000F0E3C"/>
    <w:rsid w:val="000F19D5"/>
    <w:rsid w:val="000F4AEA"/>
    <w:rsid w:val="000F633F"/>
    <w:rsid w:val="000F67E9"/>
    <w:rsid w:val="000F7D90"/>
    <w:rsid w:val="001002CB"/>
    <w:rsid w:val="00104926"/>
    <w:rsid w:val="00105C6D"/>
    <w:rsid w:val="00113B1E"/>
    <w:rsid w:val="001144C1"/>
    <w:rsid w:val="00115002"/>
    <w:rsid w:val="0011711C"/>
    <w:rsid w:val="00117BB5"/>
    <w:rsid w:val="0012059C"/>
    <w:rsid w:val="00124E4F"/>
    <w:rsid w:val="00124FF8"/>
    <w:rsid w:val="001260B7"/>
    <w:rsid w:val="001265CB"/>
    <w:rsid w:val="00131442"/>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9D"/>
    <w:rsid w:val="00164FA8"/>
    <w:rsid w:val="00165065"/>
    <w:rsid w:val="00165434"/>
    <w:rsid w:val="0016580B"/>
    <w:rsid w:val="00165F49"/>
    <w:rsid w:val="00166B88"/>
    <w:rsid w:val="0016770A"/>
    <w:rsid w:val="00170804"/>
    <w:rsid w:val="001708E9"/>
    <w:rsid w:val="0017340B"/>
    <w:rsid w:val="00173FB1"/>
    <w:rsid w:val="00176DFD"/>
    <w:rsid w:val="00184C4F"/>
    <w:rsid w:val="001852C9"/>
    <w:rsid w:val="00190087"/>
    <w:rsid w:val="001913C4"/>
    <w:rsid w:val="0019348F"/>
    <w:rsid w:val="00193A07"/>
    <w:rsid w:val="00194C95"/>
    <w:rsid w:val="00195C34"/>
    <w:rsid w:val="00196EF5"/>
    <w:rsid w:val="001A1A53"/>
    <w:rsid w:val="001A234A"/>
    <w:rsid w:val="001A4CF3"/>
    <w:rsid w:val="001A5EEB"/>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C55"/>
    <w:rsid w:val="001E1B6A"/>
    <w:rsid w:val="001E2484"/>
    <w:rsid w:val="001E3CC4"/>
    <w:rsid w:val="001E4882"/>
    <w:rsid w:val="001E73AB"/>
    <w:rsid w:val="001E7A9E"/>
    <w:rsid w:val="001F092D"/>
    <w:rsid w:val="001F143A"/>
    <w:rsid w:val="001F1605"/>
    <w:rsid w:val="001F2508"/>
    <w:rsid w:val="001F4816"/>
    <w:rsid w:val="001F4EE9"/>
    <w:rsid w:val="001F69B4"/>
    <w:rsid w:val="001F74C7"/>
    <w:rsid w:val="001F77C7"/>
    <w:rsid w:val="00200183"/>
    <w:rsid w:val="00200333"/>
    <w:rsid w:val="0020107D"/>
    <w:rsid w:val="00201807"/>
    <w:rsid w:val="00202AA4"/>
    <w:rsid w:val="002031F7"/>
    <w:rsid w:val="002040E6"/>
    <w:rsid w:val="0020527B"/>
    <w:rsid w:val="00205F2C"/>
    <w:rsid w:val="00210B15"/>
    <w:rsid w:val="002142EA"/>
    <w:rsid w:val="002150BD"/>
    <w:rsid w:val="002204BB"/>
    <w:rsid w:val="00221B79"/>
    <w:rsid w:val="00221C6B"/>
    <w:rsid w:val="002253A1"/>
    <w:rsid w:val="002259CA"/>
    <w:rsid w:val="00225CF8"/>
    <w:rsid w:val="0022794E"/>
    <w:rsid w:val="0023307D"/>
    <w:rsid w:val="00233D64"/>
    <w:rsid w:val="0023482A"/>
    <w:rsid w:val="002359CB"/>
    <w:rsid w:val="00243540"/>
    <w:rsid w:val="0024497B"/>
    <w:rsid w:val="0024515B"/>
    <w:rsid w:val="00246021"/>
    <w:rsid w:val="0024666E"/>
    <w:rsid w:val="00247F52"/>
    <w:rsid w:val="00250B25"/>
    <w:rsid w:val="00250BBE"/>
    <w:rsid w:val="002515C2"/>
    <w:rsid w:val="0025194F"/>
    <w:rsid w:val="0025612D"/>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456"/>
    <w:rsid w:val="00296193"/>
    <w:rsid w:val="00296C66"/>
    <w:rsid w:val="00296EBE"/>
    <w:rsid w:val="002974E3"/>
    <w:rsid w:val="002A084B"/>
    <w:rsid w:val="002A1260"/>
    <w:rsid w:val="002A1589"/>
    <w:rsid w:val="002A1608"/>
    <w:rsid w:val="002A25DC"/>
    <w:rsid w:val="002A3AAB"/>
    <w:rsid w:val="002A4CEA"/>
    <w:rsid w:val="002A5977"/>
    <w:rsid w:val="002A5A13"/>
    <w:rsid w:val="002A7052"/>
    <w:rsid w:val="002A757F"/>
    <w:rsid w:val="002A7F44"/>
    <w:rsid w:val="002B0C40"/>
    <w:rsid w:val="002B1966"/>
    <w:rsid w:val="002B4508"/>
    <w:rsid w:val="002B5779"/>
    <w:rsid w:val="002B7332"/>
    <w:rsid w:val="002B7F51"/>
    <w:rsid w:val="002C09E7"/>
    <w:rsid w:val="002C129F"/>
    <w:rsid w:val="002C1E06"/>
    <w:rsid w:val="002C1E1C"/>
    <w:rsid w:val="002C3E0D"/>
    <w:rsid w:val="002C3F07"/>
    <w:rsid w:val="002C5278"/>
    <w:rsid w:val="002C762D"/>
    <w:rsid w:val="002C7EBB"/>
    <w:rsid w:val="002D06C1"/>
    <w:rsid w:val="002D42B5"/>
    <w:rsid w:val="002D4363"/>
    <w:rsid w:val="002D4F1A"/>
    <w:rsid w:val="002D5669"/>
    <w:rsid w:val="002D6EC6"/>
    <w:rsid w:val="002D79AC"/>
    <w:rsid w:val="002E039D"/>
    <w:rsid w:val="002E4D5A"/>
    <w:rsid w:val="002E6326"/>
    <w:rsid w:val="002F1989"/>
    <w:rsid w:val="002F30E0"/>
    <w:rsid w:val="002F35E4"/>
    <w:rsid w:val="002F3730"/>
    <w:rsid w:val="002F38E1"/>
    <w:rsid w:val="002F7AF6"/>
    <w:rsid w:val="00300E63"/>
    <w:rsid w:val="00302F5F"/>
    <w:rsid w:val="0030441D"/>
    <w:rsid w:val="00304AF9"/>
    <w:rsid w:val="0030507C"/>
    <w:rsid w:val="00306063"/>
    <w:rsid w:val="00313B85"/>
    <w:rsid w:val="00316412"/>
    <w:rsid w:val="003164EB"/>
    <w:rsid w:val="00317988"/>
    <w:rsid w:val="003221B4"/>
    <w:rsid w:val="0032258D"/>
    <w:rsid w:val="00322E62"/>
    <w:rsid w:val="00324D13"/>
    <w:rsid w:val="00324D2A"/>
    <w:rsid w:val="00324EDD"/>
    <w:rsid w:val="003331E4"/>
    <w:rsid w:val="0033620C"/>
    <w:rsid w:val="00336C64"/>
    <w:rsid w:val="00337162"/>
    <w:rsid w:val="003376A5"/>
    <w:rsid w:val="00337C6A"/>
    <w:rsid w:val="003416A4"/>
    <w:rsid w:val="0034194F"/>
    <w:rsid w:val="00344605"/>
    <w:rsid w:val="003474AA"/>
    <w:rsid w:val="00350D1D"/>
    <w:rsid w:val="00352C83"/>
    <w:rsid w:val="00352DBC"/>
    <w:rsid w:val="0036137C"/>
    <w:rsid w:val="003615D2"/>
    <w:rsid w:val="003615D6"/>
    <w:rsid w:val="0036429C"/>
    <w:rsid w:val="003647C6"/>
    <w:rsid w:val="00364A53"/>
    <w:rsid w:val="003654CB"/>
    <w:rsid w:val="00365AA9"/>
    <w:rsid w:val="00365F86"/>
    <w:rsid w:val="00365F87"/>
    <w:rsid w:val="00366E89"/>
    <w:rsid w:val="003705F4"/>
    <w:rsid w:val="00370D58"/>
    <w:rsid w:val="00371316"/>
    <w:rsid w:val="00375FAC"/>
    <w:rsid w:val="00376713"/>
    <w:rsid w:val="00377757"/>
    <w:rsid w:val="00381815"/>
    <w:rsid w:val="003819AF"/>
    <w:rsid w:val="003820E9"/>
    <w:rsid w:val="00382DE7"/>
    <w:rsid w:val="00384FFC"/>
    <w:rsid w:val="003872FC"/>
    <w:rsid w:val="00387ADC"/>
    <w:rsid w:val="00390020"/>
    <w:rsid w:val="003903D6"/>
    <w:rsid w:val="00390EE6"/>
    <w:rsid w:val="00391053"/>
    <w:rsid w:val="0039118F"/>
    <w:rsid w:val="00392986"/>
    <w:rsid w:val="00392AD7"/>
    <w:rsid w:val="003938D9"/>
    <w:rsid w:val="00394376"/>
    <w:rsid w:val="003943FF"/>
    <w:rsid w:val="00394AF9"/>
    <w:rsid w:val="00395635"/>
    <w:rsid w:val="00395700"/>
    <w:rsid w:val="003974EB"/>
    <w:rsid w:val="00397CC5"/>
    <w:rsid w:val="003A122D"/>
    <w:rsid w:val="003A1582"/>
    <w:rsid w:val="003A4077"/>
    <w:rsid w:val="003B09AD"/>
    <w:rsid w:val="003B1F18"/>
    <w:rsid w:val="003B5BF0"/>
    <w:rsid w:val="003B60BF"/>
    <w:rsid w:val="003B670B"/>
    <w:rsid w:val="003B6BE3"/>
    <w:rsid w:val="003C010C"/>
    <w:rsid w:val="003C0A6C"/>
    <w:rsid w:val="003C14F8"/>
    <w:rsid w:val="003C5A43"/>
    <w:rsid w:val="003C6107"/>
    <w:rsid w:val="003C697B"/>
    <w:rsid w:val="003D0519"/>
    <w:rsid w:val="003D0FF6"/>
    <w:rsid w:val="003D24DB"/>
    <w:rsid w:val="003D262C"/>
    <w:rsid w:val="003D6D61"/>
    <w:rsid w:val="003E091D"/>
    <w:rsid w:val="003E1C53"/>
    <w:rsid w:val="003E2A69"/>
    <w:rsid w:val="003E2D49"/>
    <w:rsid w:val="003E2FD4"/>
    <w:rsid w:val="003E49F6"/>
    <w:rsid w:val="003E5CF2"/>
    <w:rsid w:val="003E660F"/>
    <w:rsid w:val="003F0841"/>
    <w:rsid w:val="003F23D3"/>
    <w:rsid w:val="003F3F08"/>
    <w:rsid w:val="003F49F1"/>
    <w:rsid w:val="003F6272"/>
    <w:rsid w:val="00400E72"/>
    <w:rsid w:val="00401400"/>
    <w:rsid w:val="00404869"/>
    <w:rsid w:val="00405884"/>
    <w:rsid w:val="00407D39"/>
    <w:rsid w:val="0041477A"/>
    <w:rsid w:val="004167A3"/>
    <w:rsid w:val="00417783"/>
    <w:rsid w:val="0042349D"/>
    <w:rsid w:val="00432DAA"/>
    <w:rsid w:val="00432E12"/>
    <w:rsid w:val="00434305"/>
    <w:rsid w:val="00435DF7"/>
    <w:rsid w:val="0044083F"/>
    <w:rsid w:val="004411BD"/>
    <w:rsid w:val="00441AE7"/>
    <w:rsid w:val="00445574"/>
    <w:rsid w:val="004467FB"/>
    <w:rsid w:val="00452D6B"/>
    <w:rsid w:val="00454484"/>
    <w:rsid w:val="0045517B"/>
    <w:rsid w:val="00463B77"/>
    <w:rsid w:val="00463C7B"/>
    <w:rsid w:val="004644A6"/>
    <w:rsid w:val="004659BD"/>
    <w:rsid w:val="00470775"/>
    <w:rsid w:val="00473DC8"/>
    <w:rsid w:val="004746B1"/>
    <w:rsid w:val="0047583F"/>
    <w:rsid w:val="00475DE8"/>
    <w:rsid w:val="00476072"/>
    <w:rsid w:val="00477510"/>
    <w:rsid w:val="00481C44"/>
    <w:rsid w:val="004834E3"/>
    <w:rsid w:val="00484936"/>
    <w:rsid w:val="00485C89"/>
    <w:rsid w:val="00486732"/>
    <w:rsid w:val="00486BE3"/>
    <w:rsid w:val="004876A8"/>
    <w:rsid w:val="004905E4"/>
    <w:rsid w:val="00490A89"/>
    <w:rsid w:val="00490AB4"/>
    <w:rsid w:val="00492F02"/>
    <w:rsid w:val="004939AE"/>
    <w:rsid w:val="004A12DF"/>
    <w:rsid w:val="004A17E6"/>
    <w:rsid w:val="004A1BA8"/>
    <w:rsid w:val="004A1D1A"/>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491"/>
    <w:rsid w:val="004E1C0A"/>
    <w:rsid w:val="004E2B06"/>
    <w:rsid w:val="004E30C5"/>
    <w:rsid w:val="004E4AA5"/>
    <w:rsid w:val="004E4AEE"/>
    <w:rsid w:val="004E5705"/>
    <w:rsid w:val="004E59E3"/>
    <w:rsid w:val="004E67C0"/>
    <w:rsid w:val="004E752E"/>
    <w:rsid w:val="004F1F12"/>
    <w:rsid w:val="004F391A"/>
    <w:rsid w:val="004F3CFB"/>
    <w:rsid w:val="004F6456"/>
    <w:rsid w:val="004F696E"/>
    <w:rsid w:val="004F6C71"/>
    <w:rsid w:val="00501139"/>
    <w:rsid w:val="0050363E"/>
    <w:rsid w:val="005039BC"/>
    <w:rsid w:val="005043BB"/>
    <w:rsid w:val="00504A3D"/>
    <w:rsid w:val="00505767"/>
    <w:rsid w:val="005073F0"/>
    <w:rsid w:val="0051029E"/>
    <w:rsid w:val="00510A7B"/>
    <w:rsid w:val="00512F6E"/>
    <w:rsid w:val="00513038"/>
    <w:rsid w:val="00514174"/>
    <w:rsid w:val="005157F6"/>
    <w:rsid w:val="00515D29"/>
    <w:rsid w:val="00516088"/>
    <w:rsid w:val="00516B0B"/>
    <w:rsid w:val="005220EC"/>
    <w:rsid w:val="005223D5"/>
    <w:rsid w:val="00523F95"/>
    <w:rsid w:val="00524D65"/>
    <w:rsid w:val="00525B16"/>
    <w:rsid w:val="00527A29"/>
    <w:rsid w:val="00527E30"/>
    <w:rsid w:val="00527F93"/>
    <w:rsid w:val="00533D04"/>
    <w:rsid w:val="00534804"/>
    <w:rsid w:val="00534BDF"/>
    <w:rsid w:val="005354EA"/>
    <w:rsid w:val="0053585F"/>
    <w:rsid w:val="00535EC4"/>
    <w:rsid w:val="00535ED9"/>
    <w:rsid w:val="0053692B"/>
    <w:rsid w:val="00536F98"/>
    <w:rsid w:val="00541853"/>
    <w:rsid w:val="00543BDA"/>
    <w:rsid w:val="005441CC"/>
    <w:rsid w:val="005479DA"/>
    <w:rsid w:val="00547BCC"/>
    <w:rsid w:val="0055013B"/>
    <w:rsid w:val="00551F6F"/>
    <w:rsid w:val="00555044"/>
    <w:rsid w:val="00557417"/>
    <w:rsid w:val="00561128"/>
    <w:rsid w:val="00561475"/>
    <w:rsid w:val="0056487B"/>
    <w:rsid w:val="00564FB9"/>
    <w:rsid w:val="00573D9E"/>
    <w:rsid w:val="00575A70"/>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7E3"/>
    <w:rsid w:val="005A6A15"/>
    <w:rsid w:val="005A7830"/>
    <w:rsid w:val="005A7FCE"/>
    <w:rsid w:val="005B0F3F"/>
    <w:rsid w:val="005B4287"/>
    <w:rsid w:val="005B4850"/>
    <w:rsid w:val="005B4903"/>
    <w:rsid w:val="005B51CE"/>
    <w:rsid w:val="005B5755"/>
    <w:rsid w:val="005B5885"/>
    <w:rsid w:val="005B5CD7"/>
    <w:rsid w:val="005B6347"/>
    <w:rsid w:val="005B6CF6"/>
    <w:rsid w:val="005B7422"/>
    <w:rsid w:val="005C0E67"/>
    <w:rsid w:val="005C0F2A"/>
    <w:rsid w:val="005C18BF"/>
    <w:rsid w:val="005C29B8"/>
    <w:rsid w:val="005C5F21"/>
    <w:rsid w:val="005C7156"/>
    <w:rsid w:val="005D0C75"/>
    <w:rsid w:val="005D4171"/>
    <w:rsid w:val="005D506D"/>
    <w:rsid w:val="005D6A95"/>
    <w:rsid w:val="005D6B2C"/>
    <w:rsid w:val="005D6D9C"/>
    <w:rsid w:val="005E0288"/>
    <w:rsid w:val="005E2335"/>
    <w:rsid w:val="005E34CA"/>
    <w:rsid w:val="005E3C18"/>
    <w:rsid w:val="005E6812"/>
    <w:rsid w:val="005E7881"/>
    <w:rsid w:val="005E78E0"/>
    <w:rsid w:val="005F0D9C"/>
    <w:rsid w:val="005F16CA"/>
    <w:rsid w:val="005F284E"/>
    <w:rsid w:val="005F4712"/>
    <w:rsid w:val="00601462"/>
    <w:rsid w:val="006015CE"/>
    <w:rsid w:val="00604784"/>
    <w:rsid w:val="00606419"/>
    <w:rsid w:val="00607D29"/>
    <w:rsid w:val="00612952"/>
    <w:rsid w:val="00614CC1"/>
    <w:rsid w:val="00615A9D"/>
    <w:rsid w:val="00617387"/>
    <w:rsid w:val="006205D6"/>
    <w:rsid w:val="00622BBC"/>
    <w:rsid w:val="006252D8"/>
    <w:rsid w:val="006259BC"/>
    <w:rsid w:val="0062636B"/>
    <w:rsid w:val="0063173E"/>
    <w:rsid w:val="00632182"/>
    <w:rsid w:val="00632AE0"/>
    <w:rsid w:val="00633C17"/>
    <w:rsid w:val="00634D9E"/>
    <w:rsid w:val="00636E3E"/>
    <w:rsid w:val="006379F7"/>
    <w:rsid w:val="00637E4D"/>
    <w:rsid w:val="00640620"/>
    <w:rsid w:val="00641A1F"/>
    <w:rsid w:val="00645904"/>
    <w:rsid w:val="00651ACB"/>
    <w:rsid w:val="00651C47"/>
    <w:rsid w:val="00652AB2"/>
    <w:rsid w:val="00653911"/>
    <w:rsid w:val="00653FED"/>
    <w:rsid w:val="00654EC0"/>
    <w:rsid w:val="0065525B"/>
    <w:rsid w:val="00655D4F"/>
    <w:rsid w:val="00656D29"/>
    <w:rsid w:val="00661A6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7B4D"/>
    <w:rsid w:val="006A07AA"/>
    <w:rsid w:val="006A25E5"/>
    <w:rsid w:val="006A2B46"/>
    <w:rsid w:val="006A336D"/>
    <w:rsid w:val="006A37B9"/>
    <w:rsid w:val="006B2672"/>
    <w:rsid w:val="006B4873"/>
    <w:rsid w:val="006B54BF"/>
    <w:rsid w:val="006B5F44"/>
    <w:rsid w:val="006B5F90"/>
    <w:rsid w:val="006B62E4"/>
    <w:rsid w:val="006C0288"/>
    <w:rsid w:val="006C0D1D"/>
    <w:rsid w:val="006C1BBA"/>
    <w:rsid w:val="006C2079"/>
    <w:rsid w:val="006C47C9"/>
    <w:rsid w:val="006C5A62"/>
    <w:rsid w:val="006C5D68"/>
    <w:rsid w:val="006C6976"/>
    <w:rsid w:val="006C6DD0"/>
    <w:rsid w:val="006D04EA"/>
    <w:rsid w:val="006D0D1C"/>
    <w:rsid w:val="006D16C4"/>
    <w:rsid w:val="006D3E96"/>
    <w:rsid w:val="006D4515"/>
    <w:rsid w:val="006D4919"/>
    <w:rsid w:val="006D4BB1"/>
    <w:rsid w:val="006D6593"/>
    <w:rsid w:val="006E23EA"/>
    <w:rsid w:val="006E56AC"/>
    <w:rsid w:val="006F03A8"/>
    <w:rsid w:val="006F0ED0"/>
    <w:rsid w:val="006F2ACA"/>
    <w:rsid w:val="006F2ADC"/>
    <w:rsid w:val="006F2BFE"/>
    <w:rsid w:val="006F31E9"/>
    <w:rsid w:val="006F6284"/>
    <w:rsid w:val="006F798A"/>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433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89C"/>
    <w:rsid w:val="0076408D"/>
    <w:rsid w:val="00765BEC"/>
    <w:rsid w:val="00765C43"/>
    <w:rsid w:val="00765EFB"/>
    <w:rsid w:val="007671CA"/>
    <w:rsid w:val="00767C61"/>
    <w:rsid w:val="0077008A"/>
    <w:rsid w:val="00773C1F"/>
    <w:rsid w:val="00774DA4"/>
    <w:rsid w:val="00774E71"/>
    <w:rsid w:val="00776599"/>
    <w:rsid w:val="0078114B"/>
    <w:rsid w:val="00781DD2"/>
    <w:rsid w:val="00783ECF"/>
    <w:rsid w:val="0078413A"/>
    <w:rsid w:val="00784833"/>
    <w:rsid w:val="0079536A"/>
    <w:rsid w:val="007959E8"/>
    <w:rsid w:val="00795E9C"/>
    <w:rsid w:val="00796457"/>
    <w:rsid w:val="007A0521"/>
    <w:rsid w:val="007A2E12"/>
    <w:rsid w:val="007A3475"/>
    <w:rsid w:val="007A41C8"/>
    <w:rsid w:val="007A54CE"/>
    <w:rsid w:val="007A69A8"/>
    <w:rsid w:val="007A6FD9"/>
    <w:rsid w:val="007A7469"/>
    <w:rsid w:val="007A7FFA"/>
    <w:rsid w:val="007B04EB"/>
    <w:rsid w:val="007B0D4F"/>
    <w:rsid w:val="007B0FBE"/>
    <w:rsid w:val="007B2B1B"/>
    <w:rsid w:val="007B2F51"/>
    <w:rsid w:val="007B5A3D"/>
    <w:rsid w:val="007B5B95"/>
    <w:rsid w:val="007B68EA"/>
    <w:rsid w:val="007B6ABB"/>
    <w:rsid w:val="007B6FBD"/>
    <w:rsid w:val="007B7453"/>
    <w:rsid w:val="007C1E8B"/>
    <w:rsid w:val="007C2D89"/>
    <w:rsid w:val="007C4593"/>
    <w:rsid w:val="007C5309"/>
    <w:rsid w:val="007C6069"/>
    <w:rsid w:val="007C7AB8"/>
    <w:rsid w:val="007D06C4"/>
    <w:rsid w:val="007D1352"/>
    <w:rsid w:val="007D2508"/>
    <w:rsid w:val="007D346A"/>
    <w:rsid w:val="007D4A1B"/>
    <w:rsid w:val="007D6518"/>
    <w:rsid w:val="007D76BD"/>
    <w:rsid w:val="007E0BF1"/>
    <w:rsid w:val="007E1777"/>
    <w:rsid w:val="007E487F"/>
    <w:rsid w:val="007F0ED8"/>
    <w:rsid w:val="007F0F63"/>
    <w:rsid w:val="007F75CE"/>
    <w:rsid w:val="008013A4"/>
    <w:rsid w:val="008027CE"/>
    <w:rsid w:val="00802F42"/>
    <w:rsid w:val="00804383"/>
    <w:rsid w:val="00804463"/>
    <w:rsid w:val="00804BB7"/>
    <w:rsid w:val="00804D41"/>
    <w:rsid w:val="00805CC8"/>
    <w:rsid w:val="00807A78"/>
    <w:rsid w:val="00810257"/>
    <w:rsid w:val="008104F5"/>
    <w:rsid w:val="00811072"/>
    <w:rsid w:val="00811369"/>
    <w:rsid w:val="00815419"/>
    <w:rsid w:val="008163C8"/>
    <w:rsid w:val="008164A1"/>
    <w:rsid w:val="00817325"/>
    <w:rsid w:val="0082077D"/>
    <w:rsid w:val="008209E6"/>
    <w:rsid w:val="00823303"/>
    <w:rsid w:val="008233B2"/>
    <w:rsid w:val="00823A9F"/>
    <w:rsid w:val="00823C85"/>
    <w:rsid w:val="008250A1"/>
    <w:rsid w:val="00825138"/>
    <w:rsid w:val="008269DD"/>
    <w:rsid w:val="00830621"/>
    <w:rsid w:val="0083348C"/>
    <w:rsid w:val="008373D3"/>
    <w:rsid w:val="00840617"/>
    <w:rsid w:val="00840F84"/>
    <w:rsid w:val="0084112D"/>
    <w:rsid w:val="00842172"/>
    <w:rsid w:val="00842A47"/>
    <w:rsid w:val="00843C13"/>
    <w:rsid w:val="0084446F"/>
    <w:rsid w:val="008454F8"/>
    <w:rsid w:val="00845C96"/>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3CF"/>
    <w:rsid w:val="0089762C"/>
    <w:rsid w:val="008A07BA"/>
    <w:rsid w:val="008A0955"/>
    <w:rsid w:val="008A1893"/>
    <w:rsid w:val="008A3215"/>
    <w:rsid w:val="008A57E6"/>
    <w:rsid w:val="008A6653"/>
    <w:rsid w:val="008A6F81"/>
    <w:rsid w:val="008A769A"/>
    <w:rsid w:val="008B0C9C"/>
    <w:rsid w:val="008B166D"/>
    <w:rsid w:val="008B17F4"/>
    <w:rsid w:val="008B3615"/>
    <w:rsid w:val="008B4AC4"/>
    <w:rsid w:val="008B50C8"/>
    <w:rsid w:val="008B5281"/>
    <w:rsid w:val="008B7E05"/>
    <w:rsid w:val="008C1797"/>
    <w:rsid w:val="008C219C"/>
    <w:rsid w:val="008C3D9E"/>
    <w:rsid w:val="008C475E"/>
    <w:rsid w:val="008C619A"/>
    <w:rsid w:val="008D0CE8"/>
    <w:rsid w:val="008D2D1D"/>
    <w:rsid w:val="008D453D"/>
    <w:rsid w:val="008D53AD"/>
    <w:rsid w:val="008D562B"/>
    <w:rsid w:val="008D5733"/>
    <w:rsid w:val="008D622B"/>
    <w:rsid w:val="008D666C"/>
    <w:rsid w:val="008D6F02"/>
    <w:rsid w:val="008D7B54"/>
    <w:rsid w:val="008E0C9D"/>
    <w:rsid w:val="008E1648"/>
    <w:rsid w:val="008E1B3E"/>
    <w:rsid w:val="008E2319"/>
    <w:rsid w:val="008E2D2B"/>
    <w:rsid w:val="008E4BB6"/>
    <w:rsid w:val="008E5518"/>
    <w:rsid w:val="008E6A84"/>
    <w:rsid w:val="008F0CDC"/>
    <w:rsid w:val="008F17A3"/>
    <w:rsid w:val="008F1ED3"/>
    <w:rsid w:val="008F23A5"/>
    <w:rsid w:val="008F4C29"/>
    <w:rsid w:val="008F70BD"/>
    <w:rsid w:val="008F788F"/>
    <w:rsid w:val="008F7EA2"/>
    <w:rsid w:val="00901380"/>
    <w:rsid w:val="00902722"/>
    <w:rsid w:val="009027BC"/>
    <w:rsid w:val="009053DC"/>
    <w:rsid w:val="009062E6"/>
    <w:rsid w:val="00907E5A"/>
    <w:rsid w:val="00910F55"/>
    <w:rsid w:val="00911BE5"/>
    <w:rsid w:val="00911F00"/>
    <w:rsid w:val="00913CA9"/>
    <w:rsid w:val="009145AE"/>
    <w:rsid w:val="00914612"/>
    <w:rsid w:val="009146CE"/>
    <w:rsid w:val="00914CA7"/>
    <w:rsid w:val="00915C3E"/>
    <w:rsid w:val="00916140"/>
    <w:rsid w:val="009161A8"/>
    <w:rsid w:val="009243CA"/>
    <w:rsid w:val="009245F5"/>
    <w:rsid w:val="009249EC"/>
    <w:rsid w:val="00925428"/>
    <w:rsid w:val="009273B3"/>
    <w:rsid w:val="009305B5"/>
    <w:rsid w:val="009429D5"/>
    <w:rsid w:val="00942BF1"/>
    <w:rsid w:val="00945180"/>
    <w:rsid w:val="00945428"/>
    <w:rsid w:val="0094607B"/>
    <w:rsid w:val="00953604"/>
    <w:rsid w:val="0095496B"/>
    <w:rsid w:val="0095709E"/>
    <w:rsid w:val="009610DC"/>
    <w:rsid w:val="00961490"/>
    <w:rsid w:val="0096381A"/>
    <w:rsid w:val="00965E04"/>
    <w:rsid w:val="009674AD"/>
    <w:rsid w:val="00970CDC"/>
    <w:rsid w:val="00977010"/>
    <w:rsid w:val="00977D02"/>
    <w:rsid w:val="009809BB"/>
    <w:rsid w:val="0098364B"/>
    <w:rsid w:val="009911AF"/>
    <w:rsid w:val="00991875"/>
    <w:rsid w:val="00991F92"/>
    <w:rsid w:val="00992836"/>
    <w:rsid w:val="00992985"/>
    <w:rsid w:val="00993889"/>
    <w:rsid w:val="0099551B"/>
    <w:rsid w:val="00995CB1"/>
    <w:rsid w:val="00995ED1"/>
    <w:rsid w:val="00997BF1"/>
    <w:rsid w:val="009A089C"/>
    <w:rsid w:val="009A118E"/>
    <w:rsid w:val="009A1250"/>
    <w:rsid w:val="009A1E35"/>
    <w:rsid w:val="009A21CD"/>
    <w:rsid w:val="009A278C"/>
    <w:rsid w:val="009A2BC2"/>
    <w:rsid w:val="009A42C1"/>
    <w:rsid w:val="009A5429"/>
    <w:rsid w:val="009A72AD"/>
    <w:rsid w:val="009B09E0"/>
    <w:rsid w:val="009B0BC5"/>
    <w:rsid w:val="009B1247"/>
    <w:rsid w:val="009B6029"/>
    <w:rsid w:val="009B6971"/>
    <w:rsid w:val="009B6C37"/>
    <w:rsid w:val="009C27F1"/>
    <w:rsid w:val="009C3152"/>
    <w:rsid w:val="009C4CFA"/>
    <w:rsid w:val="009C5070"/>
    <w:rsid w:val="009C5339"/>
    <w:rsid w:val="009C63AC"/>
    <w:rsid w:val="009D112C"/>
    <w:rsid w:val="009D47FA"/>
    <w:rsid w:val="009D4C5B"/>
    <w:rsid w:val="009D50D2"/>
    <w:rsid w:val="009D6BCA"/>
    <w:rsid w:val="009E0F62"/>
    <w:rsid w:val="009E4A58"/>
    <w:rsid w:val="009E5A2D"/>
    <w:rsid w:val="009E5AB2"/>
    <w:rsid w:val="009E6219"/>
    <w:rsid w:val="009F03B3"/>
    <w:rsid w:val="009F4DF3"/>
    <w:rsid w:val="00A0096C"/>
    <w:rsid w:val="00A01757"/>
    <w:rsid w:val="00A0258D"/>
    <w:rsid w:val="00A028C0"/>
    <w:rsid w:val="00A02BAE"/>
    <w:rsid w:val="00A06A6B"/>
    <w:rsid w:val="00A06D72"/>
    <w:rsid w:val="00A07E47"/>
    <w:rsid w:val="00A129D0"/>
    <w:rsid w:val="00A12C33"/>
    <w:rsid w:val="00A138BA"/>
    <w:rsid w:val="00A14C8E"/>
    <w:rsid w:val="00A153D9"/>
    <w:rsid w:val="00A15F09"/>
    <w:rsid w:val="00A169B6"/>
    <w:rsid w:val="00A2271D"/>
    <w:rsid w:val="00A237D5"/>
    <w:rsid w:val="00A26A33"/>
    <w:rsid w:val="00A30EFC"/>
    <w:rsid w:val="00A31984"/>
    <w:rsid w:val="00A32D73"/>
    <w:rsid w:val="00A3367B"/>
    <w:rsid w:val="00A339FD"/>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B0C"/>
    <w:rsid w:val="00A648CD"/>
    <w:rsid w:val="00A6537A"/>
    <w:rsid w:val="00A67866"/>
    <w:rsid w:val="00A70B07"/>
    <w:rsid w:val="00A723F8"/>
    <w:rsid w:val="00A76ACF"/>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75C"/>
    <w:rsid w:val="00AA6EC9"/>
    <w:rsid w:val="00AB188B"/>
    <w:rsid w:val="00AB41D5"/>
    <w:rsid w:val="00AB6309"/>
    <w:rsid w:val="00AB6C5F"/>
    <w:rsid w:val="00AB7129"/>
    <w:rsid w:val="00AB7FAE"/>
    <w:rsid w:val="00AC27A6"/>
    <w:rsid w:val="00AC30F7"/>
    <w:rsid w:val="00AC3A5A"/>
    <w:rsid w:val="00AC4395"/>
    <w:rsid w:val="00AC4D95"/>
    <w:rsid w:val="00AC5DF4"/>
    <w:rsid w:val="00AC7387"/>
    <w:rsid w:val="00AC7DF7"/>
    <w:rsid w:val="00AD0AEF"/>
    <w:rsid w:val="00AD11B7"/>
    <w:rsid w:val="00AD1A94"/>
    <w:rsid w:val="00AD1C05"/>
    <w:rsid w:val="00AD4126"/>
    <w:rsid w:val="00AD421C"/>
    <w:rsid w:val="00AD44FA"/>
    <w:rsid w:val="00AD5140"/>
    <w:rsid w:val="00AD5A46"/>
    <w:rsid w:val="00AE070A"/>
    <w:rsid w:val="00AE101C"/>
    <w:rsid w:val="00AE37E5"/>
    <w:rsid w:val="00AE4767"/>
    <w:rsid w:val="00AE5EB4"/>
    <w:rsid w:val="00AE679D"/>
    <w:rsid w:val="00AE7B6B"/>
    <w:rsid w:val="00AF0C18"/>
    <w:rsid w:val="00AF47C5"/>
    <w:rsid w:val="00AF5398"/>
    <w:rsid w:val="00B0060F"/>
    <w:rsid w:val="00B049AF"/>
    <w:rsid w:val="00B05200"/>
    <w:rsid w:val="00B07242"/>
    <w:rsid w:val="00B07EA0"/>
    <w:rsid w:val="00B10534"/>
    <w:rsid w:val="00B113DB"/>
    <w:rsid w:val="00B11D8A"/>
    <w:rsid w:val="00B12981"/>
    <w:rsid w:val="00B147DD"/>
    <w:rsid w:val="00B156FD"/>
    <w:rsid w:val="00B21F61"/>
    <w:rsid w:val="00B26030"/>
    <w:rsid w:val="00B261F1"/>
    <w:rsid w:val="00B265BC"/>
    <w:rsid w:val="00B31FB1"/>
    <w:rsid w:val="00B3385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070"/>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6D6"/>
    <w:rsid w:val="00BC295E"/>
    <w:rsid w:val="00BC3AAC"/>
    <w:rsid w:val="00BC5DC7"/>
    <w:rsid w:val="00BC6B8B"/>
    <w:rsid w:val="00BC73D8"/>
    <w:rsid w:val="00BC77FF"/>
    <w:rsid w:val="00BD52D7"/>
    <w:rsid w:val="00BD5AD2"/>
    <w:rsid w:val="00BE02B7"/>
    <w:rsid w:val="00BE22F3"/>
    <w:rsid w:val="00BE2887"/>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4BF"/>
    <w:rsid w:val="00C33E50"/>
    <w:rsid w:val="00C348D1"/>
    <w:rsid w:val="00C34C20"/>
    <w:rsid w:val="00C35A3E"/>
    <w:rsid w:val="00C42130"/>
    <w:rsid w:val="00C423A4"/>
    <w:rsid w:val="00C44BF5"/>
    <w:rsid w:val="00C521D6"/>
    <w:rsid w:val="00C5389A"/>
    <w:rsid w:val="00C55232"/>
    <w:rsid w:val="00C553A4"/>
    <w:rsid w:val="00C55A06"/>
    <w:rsid w:val="00C55D03"/>
    <w:rsid w:val="00C601BC"/>
    <w:rsid w:val="00C6329F"/>
    <w:rsid w:val="00C63340"/>
    <w:rsid w:val="00C643F9"/>
    <w:rsid w:val="00C64E95"/>
    <w:rsid w:val="00C658BF"/>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EE0"/>
    <w:rsid w:val="00CA662A"/>
    <w:rsid w:val="00CA7AFD"/>
    <w:rsid w:val="00CA7C3C"/>
    <w:rsid w:val="00CB0189"/>
    <w:rsid w:val="00CB0BA2"/>
    <w:rsid w:val="00CB1A42"/>
    <w:rsid w:val="00CB1B0C"/>
    <w:rsid w:val="00CB2C0B"/>
    <w:rsid w:val="00CB517D"/>
    <w:rsid w:val="00CB7629"/>
    <w:rsid w:val="00CC038D"/>
    <w:rsid w:val="00CC08DB"/>
    <w:rsid w:val="00CC18D4"/>
    <w:rsid w:val="00CC39FF"/>
    <w:rsid w:val="00CC3C2F"/>
    <w:rsid w:val="00CC409C"/>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B5D"/>
    <w:rsid w:val="00D0321C"/>
    <w:rsid w:val="00D035EC"/>
    <w:rsid w:val="00D05336"/>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11B"/>
    <w:rsid w:val="00D32719"/>
    <w:rsid w:val="00D33333"/>
    <w:rsid w:val="00D33457"/>
    <w:rsid w:val="00D352A2"/>
    <w:rsid w:val="00D371F4"/>
    <w:rsid w:val="00D37FEF"/>
    <w:rsid w:val="00D4162B"/>
    <w:rsid w:val="00D4514F"/>
    <w:rsid w:val="00D451E2"/>
    <w:rsid w:val="00D45E89"/>
    <w:rsid w:val="00D45E8D"/>
    <w:rsid w:val="00D466AE"/>
    <w:rsid w:val="00D4734F"/>
    <w:rsid w:val="00D51BF3"/>
    <w:rsid w:val="00D62FB6"/>
    <w:rsid w:val="00D66102"/>
    <w:rsid w:val="00D66846"/>
    <w:rsid w:val="00D675FB"/>
    <w:rsid w:val="00D71F25"/>
    <w:rsid w:val="00D72A9C"/>
    <w:rsid w:val="00D72AB3"/>
    <w:rsid w:val="00D72FF2"/>
    <w:rsid w:val="00D77031"/>
    <w:rsid w:val="00D84941"/>
    <w:rsid w:val="00D84FA1"/>
    <w:rsid w:val="00D851F0"/>
    <w:rsid w:val="00D86DB7"/>
    <w:rsid w:val="00D8770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B745B"/>
    <w:rsid w:val="00DC0137"/>
    <w:rsid w:val="00DC0321"/>
    <w:rsid w:val="00DC3067"/>
    <w:rsid w:val="00DC370B"/>
    <w:rsid w:val="00DC5B90"/>
    <w:rsid w:val="00DC7D8C"/>
    <w:rsid w:val="00DD00FF"/>
    <w:rsid w:val="00DD0619"/>
    <w:rsid w:val="00DD07FB"/>
    <w:rsid w:val="00DD25C6"/>
    <w:rsid w:val="00DD4FE5"/>
    <w:rsid w:val="00DD54B0"/>
    <w:rsid w:val="00DD57EE"/>
    <w:rsid w:val="00DD6B86"/>
    <w:rsid w:val="00DD6BCC"/>
    <w:rsid w:val="00DE0A4B"/>
    <w:rsid w:val="00DE2410"/>
    <w:rsid w:val="00DE2939"/>
    <w:rsid w:val="00DE6E81"/>
    <w:rsid w:val="00DE703F"/>
    <w:rsid w:val="00DE7595"/>
    <w:rsid w:val="00DF1961"/>
    <w:rsid w:val="00DF44DE"/>
    <w:rsid w:val="00DF5F11"/>
    <w:rsid w:val="00E005C7"/>
    <w:rsid w:val="00E01138"/>
    <w:rsid w:val="00E02DFB"/>
    <w:rsid w:val="00E030F9"/>
    <w:rsid w:val="00E0311A"/>
    <w:rsid w:val="00E03138"/>
    <w:rsid w:val="00E062D3"/>
    <w:rsid w:val="00E06404"/>
    <w:rsid w:val="00E11A85"/>
    <w:rsid w:val="00E11BED"/>
    <w:rsid w:val="00E12495"/>
    <w:rsid w:val="00E15CCD"/>
    <w:rsid w:val="00E202EF"/>
    <w:rsid w:val="00E210B5"/>
    <w:rsid w:val="00E23D99"/>
    <w:rsid w:val="00E25308"/>
    <w:rsid w:val="00E2552F"/>
    <w:rsid w:val="00E3137A"/>
    <w:rsid w:val="00E32CCF"/>
    <w:rsid w:val="00E34A98"/>
    <w:rsid w:val="00E35D1E"/>
    <w:rsid w:val="00E364F9"/>
    <w:rsid w:val="00E365FA"/>
    <w:rsid w:val="00E36789"/>
    <w:rsid w:val="00E44A83"/>
    <w:rsid w:val="00E45ACF"/>
    <w:rsid w:val="00E477B2"/>
    <w:rsid w:val="00E502C1"/>
    <w:rsid w:val="00E502DD"/>
    <w:rsid w:val="00E50D3A"/>
    <w:rsid w:val="00E51387"/>
    <w:rsid w:val="00E51E68"/>
    <w:rsid w:val="00E52EFD"/>
    <w:rsid w:val="00E5408A"/>
    <w:rsid w:val="00E56800"/>
    <w:rsid w:val="00E56EFB"/>
    <w:rsid w:val="00E60C63"/>
    <w:rsid w:val="00E62FF9"/>
    <w:rsid w:val="00E635D6"/>
    <w:rsid w:val="00E639BC"/>
    <w:rsid w:val="00E63DD7"/>
    <w:rsid w:val="00E664CC"/>
    <w:rsid w:val="00E70388"/>
    <w:rsid w:val="00E70F92"/>
    <w:rsid w:val="00E74C54"/>
    <w:rsid w:val="00E77A03"/>
    <w:rsid w:val="00E822E8"/>
    <w:rsid w:val="00E82554"/>
    <w:rsid w:val="00E82606"/>
    <w:rsid w:val="00E846C8"/>
    <w:rsid w:val="00E84957"/>
    <w:rsid w:val="00E84A55"/>
    <w:rsid w:val="00E84D8A"/>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232"/>
    <w:rsid w:val="00EB74DB"/>
    <w:rsid w:val="00EC5359"/>
    <w:rsid w:val="00EC562A"/>
    <w:rsid w:val="00ED067A"/>
    <w:rsid w:val="00ED2B50"/>
    <w:rsid w:val="00EE0350"/>
    <w:rsid w:val="00EE0719"/>
    <w:rsid w:val="00EE0E80"/>
    <w:rsid w:val="00EE51ED"/>
    <w:rsid w:val="00EE54A6"/>
    <w:rsid w:val="00EE613F"/>
    <w:rsid w:val="00EE7295"/>
    <w:rsid w:val="00EE7869"/>
    <w:rsid w:val="00EF054A"/>
    <w:rsid w:val="00EF3235"/>
    <w:rsid w:val="00EF77EB"/>
    <w:rsid w:val="00EF7E72"/>
    <w:rsid w:val="00F06D37"/>
    <w:rsid w:val="00F07B9D"/>
    <w:rsid w:val="00F11586"/>
    <w:rsid w:val="00F1183B"/>
    <w:rsid w:val="00F11C9F"/>
    <w:rsid w:val="00F12263"/>
    <w:rsid w:val="00F13078"/>
    <w:rsid w:val="00F1409D"/>
    <w:rsid w:val="00F14214"/>
    <w:rsid w:val="00F157A9"/>
    <w:rsid w:val="00F23B3A"/>
    <w:rsid w:val="00F25BB6"/>
    <w:rsid w:val="00F26B7E"/>
    <w:rsid w:val="00F27A3B"/>
    <w:rsid w:val="00F33817"/>
    <w:rsid w:val="00F3676C"/>
    <w:rsid w:val="00F37E2E"/>
    <w:rsid w:val="00F405E7"/>
    <w:rsid w:val="00F4075E"/>
    <w:rsid w:val="00F420D5"/>
    <w:rsid w:val="00F451EA"/>
    <w:rsid w:val="00F45447"/>
    <w:rsid w:val="00F456C6"/>
    <w:rsid w:val="00F4577B"/>
    <w:rsid w:val="00F46496"/>
    <w:rsid w:val="00F474D0"/>
    <w:rsid w:val="00F50179"/>
    <w:rsid w:val="00F50534"/>
    <w:rsid w:val="00F515EE"/>
    <w:rsid w:val="00F56511"/>
    <w:rsid w:val="00F6194E"/>
    <w:rsid w:val="00F623AC"/>
    <w:rsid w:val="00F63388"/>
    <w:rsid w:val="00F6412A"/>
    <w:rsid w:val="00F65893"/>
    <w:rsid w:val="00F6612E"/>
    <w:rsid w:val="00F66A4A"/>
    <w:rsid w:val="00F67FE9"/>
    <w:rsid w:val="00F71E22"/>
    <w:rsid w:val="00F72142"/>
    <w:rsid w:val="00F72AE7"/>
    <w:rsid w:val="00F8006C"/>
    <w:rsid w:val="00F81141"/>
    <w:rsid w:val="00F833BA"/>
    <w:rsid w:val="00F84FD0"/>
    <w:rsid w:val="00F859A8"/>
    <w:rsid w:val="00F86D87"/>
    <w:rsid w:val="00F90E0D"/>
    <w:rsid w:val="00F9108B"/>
    <w:rsid w:val="00F91349"/>
    <w:rsid w:val="00F914F7"/>
    <w:rsid w:val="00F93A8A"/>
    <w:rsid w:val="00F95248"/>
    <w:rsid w:val="00F956A9"/>
    <w:rsid w:val="00F963ED"/>
    <w:rsid w:val="00F966CF"/>
    <w:rsid w:val="00F96CAE"/>
    <w:rsid w:val="00F97C99"/>
    <w:rsid w:val="00FA2A1B"/>
    <w:rsid w:val="00FA4DAC"/>
    <w:rsid w:val="00FA662D"/>
    <w:rsid w:val="00FA73B1"/>
    <w:rsid w:val="00FB0CB9"/>
    <w:rsid w:val="00FB231D"/>
    <w:rsid w:val="00FB45F1"/>
    <w:rsid w:val="00FB4A72"/>
    <w:rsid w:val="00FB54E8"/>
    <w:rsid w:val="00FB608E"/>
    <w:rsid w:val="00FB6ED0"/>
    <w:rsid w:val="00FB7054"/>
    <w:rsid w:val="00FC17B7"/>
    <w:rsid w:val="00FC2840"/>
    <w:rsid w:val="00FC2CB7"/>
    <w:rsid w:val="00FC4090"/>
    <w:rsid w:val="00FC55B4"/>
    <w:rsid w:val="00FC6DF1"/>
    <w:rsid w:val="00FD00E6"/>
    <w:rsid w:val="00FD09A1"/>
    <w:rsid w:val="00FD2A7C"/>
    <w:rsid w:val="00FD43AA"/>
    <w:rsid w:val="00FD59EB"/>
    <w:rsid w:val="00FD7299"/>
    <w:rsid w:val="00FE1FBE"/>
    <w:rsid w:val="00FE3901"/>
    <w:rsid w:val="00FE39D3"/>
    <w:rsid w:val="00FE4BCE"/>
    <w:rsid w:val="00FE54AE"/>
    <w:rsid w:val="00FE576A"/>
    <w:rsid w:val="00FE6F92"/>
    <w:rsid w:val="00FE7E79"/>
    <w:rsid w:val="00FF22AD"/>
    <w:rsid w:val="00FF3E7D"/>
    <w:rsid w:val="00FF5B99"/>
    <w:rsid w:val="00FF730C"/>
    <w:rsid w:val="00FF73F4"/>
    <w:rsid w:val="00FF7CE4"/>
    <w:rsid w:val="00FF7E39"/>
    <w:rsid w:val="0527333A"/>
    <w:rsid w:val="14E87798"/>
    <w:rsid w:val="179F3045"/>
    <w:rsid w:val="2E1F338D"/>
    <w:rsid w:val="2F713AA3"/>
    <w:rsid w:val="34FE4647"/>
    <w:rsid w:val="39F7057F"/>
    <w:rsid w:val="41D70D5F"/>
    <w:rsid w:val="44E16086"/>
    <w:rsid w:val="4649780F"/>
    <w:rsid w:val="4AFA4D4E"/>
    <w:rsid w:val="53D14261"/>
    <w:rsid w:val="54262092"/>
    <w:rsid w:val="5CCD657E"/>
    <w:rsid w:val="6656672A"/>
    <w:rsid w:val="69EF0327"/>
    <w:rsid w:val="77822FF8"/>
    <w:rsid w:val="7F07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uiPriority w:val="0"/>
    <w:pPr>
      <w:ind w:firstLine="420"/>
    </w:pPr>
  </w:style>
  <w:style w:type="paragraph" w:styleId="13">
    <w:name w:val="Body Text"/>
    <w:basedOn w:val="1"/>
    <w:link w:val="86"/>
    <w:autoRedefine/>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5EFE2977E44187BFCD0989A0C281ED"/>
        <w:style w:val=""/>
        <w:category>
          <w:name w:val="常规"/>
          <w:gallery w:val="placeholder"/>
        </w:category>
        <w:types>
          <w:type w:val="bbPlcHdr"/>
        </w:types>
        <w:behaviors>
          <w:behavior w:val="content"/>
        </w:behaviors>
        <w:description w:val=""/>
        <w:guid w:val="{948B6ED1-49BA-4141-BCD2-613F1FFA81B5}"/>
      </w:docPartPr>
      <w:docPartBody>
        <w:p>
          <w:pPr>
            <w:pStyle w:val="5"/>
          </w:pPr>
          <w:r>
            <w:rPr>
              <w:rStyle w:val="4"/>
              <w:rFonts w:hint="eastAsia"/>
            </w:rPr>
            <w:t>单击或点击此处输入文字。</w:t>
          </w:r>
        </w:p>
      </w:docPartBody>
    </w:docPart>
    <w:docPart>
      <w:docPartPr>
        <w:name w:val="0440F955DF534939A2BB0E596D93E3BE"/>
        <w:style w:val=""/>
        <w:category>
          <w:name w:val="常规"/>
          <w:gallery w:val="placeholder"/>
        </w:category>
        <w:types>
          <w:type w:val="bbPlcHdr"/>
        </w:types>
        <w:behaviors>
          <w:behavior w:val="content"/>
        </w:behaviors>
        <w:description w:val=""/>
        <w:guid w:val="{E781F53A-8496-4178-91F6-86F86BC84387}"/>
      </w:docPartPr>
      <w:docPartBody>
        <w:p>
          <w:pPr>
            <w:pStyle w:val="6"/>
          </w:pPr>
          <w:r>
            <w:rPr>
              <w:rStyle w:val="4"/>
              <w:rFonts w:hint="eastAsia"/>
            </w:rPr>
            <w:t>选择一项。</w:t>
          </w:r>
        </w:p>
      </w:docPartBody>
    </w:docPart>
    <w:docPart>
      <w:docPartPr>
        <w:name w:val="E037DED407C1430BAAE1BD2FA02024A9"/>
        <w:style w:val=""/>
        <w:category>
          <w:name w:val="常规"/>
          <w:gallery w:val="placeholder"/>
        </w:category>
        <w:types>
          <w:type w:val="bbPlcHdr"/>
        </w:types>
        <w:behaviors>
          <w:behavior w:val="content"/>
        </w:behaviors>
        <w:description w:val=""/>
        <w:guid w:val="{2DD2AA39-AF15-422E-89B7-EE1318DCB3F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FF"/>
    <w:rsid w:val="00133AE6"/>
    <w:rsid w:val="001A78E0"/>
    <w:rsid w:val="00274E3F"/>
    <w:rsid w:val="002A2AD9"/>
    <w:rsid w:val="003745CC"/>
    <w:rsid w:val="003B7A62"/>
    <w:rsid w:val="003E7C4C"/>
    <w:rsid w:val="004E757D"/>
    <w:rsid w:val="0069409B"/>
    <w:rsid w:val="006B3B24"/>
    <w:rsid w:val="007605B0"/>
    <w:rsid w:val="00787849"/>
    <w:rsid w:val="00885B7B"/>
    <w:rsid w:val="00900E9D"/>
    <w:rsid w:val="00AB3FF6"/>
    <w:rsid w:val="00AB5F55"/>
    <w:rsid w:val="00B239D7"/>
    <w:rsid w:val="00B330FB"/>
    <w:rsid w:val="00BC7D1D"/>
    <w:rsid w:val="00C16215"/>
    <w:rsid w:val="00C42B5D"/>
    <w:rsid w:val="00CA5162"/>
    <w:rsid w:val="00E137C9"/>
    <w:rsid w:val="00F52AFF"/>
    <w:rsid w:val="00FC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925EFE2977E44187BFCD0989A0C281E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440F955DF534939A2BB0E596D93E3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037DED407C1430BAAE1BD2FA02024A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07051-71B4-4BBD-94FA-F512ACD04541}">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1486</Words>
  <Characters>8475</Characters>
  <Lines>70</Lines>
  <Paragraphs>19</Paragraphs>
  <TotalTime>107</TotalTime>
  <ScaleCrop>false</ScaleCrop>
  <LinksUpToDate>false</LinksUpToDate>
  <CharactersWithSpaces>9942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2023-04-24T02:21:00Z</dcterms:created>
  <dc:creator>Administrator</dc:creator>
  <cp:lastModifiedBy>WPS_1602287805</cp:lastModifiedBy>
  <cp:lastPrinted>2023-04-24T02:23:00Z</cp:lastPrinted>
  <dcterms:modified xsi:type="dcterms:W3CDTF">2024-02-04T03:34:56Z</dcterms:modified>
  <dc:title>地方标准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E0E5719C58E444B3A31734768FD59C11_12</vt:lpwstr>
  </property>
</Properties>
</file>