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01.040.03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A00</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49"/>
              <w:framePr w:w="0" w:hRule="auto" w:wrap="auto" w:vAnchor="margin" w:hAnchor="text" w:xAlign="left" w:yAlign="inline"/>
              <w:rPr>
                <w:rFonts w:ascii="宋体" w:hAnsi="宋体"/>
                <w:sz w:val="28"/>
                <w:szCs w:val="28"/>
              </w:rPr>
            </w:pPr>
            <w:bookmarkStart w:id="1"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2" w:name="c1"/>
            <w:r>
              <w:instrText xml:space="preserve"> FORMTEXT </w:instrText>
            </w:r>
            <w:r>
              <w:fldChar w:fldCharType="separate"/>
            </w:r>
            <w:r>
              <w:t>4207</w:t>
            </w:r>
            <w: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3"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鄂州市</w:t>
      </w:r>
      <w:r>
        <w:rPr>
          <w:rFonts w:ascii="黑体" w:eastAsia="黑体"/>
          <w:b w:val="0"/>
          <w:w w:val="100"/>
          <w:sz w:val="48"/>
        </w:rPr>
        <w:fldChar w:fldCharType="end"/>
      </w:r>
      <w:bookmarkEnd w:id="3"/>
      <w:r>
        <w:rPr>
          <w:rFonts w:hint="eastAsia" w:ascii="黑体" w:hAnsi="黑体" w:eastAsia="黑体"/>
          <w:b w:val="0"/>
          <w:bCs w:val="0"/>
          <w:w w:val="100"/>
          <w:sz w:val="48"/>
          <w:szCs w:val="48"/>
        </w:rPr>
        <w:t>地方标准</w:t>
      </w:r>
    </w:p>
    <w:bookmarkEnd w:id="1"/>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4" w:name="文字1"/>
      <w:r>
        <w:rPr>
          <w:lang w:val="fr-FR"/>
        </w:rPr>
        <w:instrText xml:space="preserve"> FORMTEXT </w:instrText>
      </w:r>
      <w:r>
        <w:fldChar w:fldCharType="separate"/>
      </w:r>
      <w:r>
        <w:rPr>
          <w:lang w:val="fr-FR"/>
        </w:rPr>
        <w:t>XX/T</w:t>
      </w:r>
      <w:r>
        <w:fldChar w:fldCharType="end"/>
      </w:r>
      <w:bookmarkEnd w:id="4"/>
      <w:r>
        <w:rPr>
          <w:lang w:val="fr-FR"/>
        </w:rPr>
        <w:t xml:space="preserve"> </w:t>
      </w:r>
      <w:r>
        <w:fldChar w:fldCharType="begin">
          <w:ffData>
            <w:name w:val="NSTD_CODE_F"/>
            <w:enabled/>
            <w:calcOnExit w:val="0"/>
            <w:textInput>
              <w:default w:val="XXXX"/>
            </w:textInput>
          </w:ffData>
        </w:fldChar>
      </w:r>
      <w:bookmarkStart w:id="5" w:name="NSTD_CODE_F"/>
      <w:r>
        <w:rPr>
          <w:lang w:val="fr-FR"/>
        </w:rPr>
        <w:instrText xml:space="preserve"> FORMTEXT </w:instrText>
      </w:r>
      <w:r>
        <w:fldChar w:fldCharType="separate"/>
      </w:r>
      <w:r>
        <w:rPr>
          <w:lang w:val="fr-FR"/>
        </w:rPr>
        <w:t>XXXX</w:t>
      </w:r>
      <w:r>
        <w:fldChar w:fldCharType="end"/>
      </w:r>
      <w:bookmarkEnd w:id="5"/>
      <w:r>
        <w:rPr>
          <w:rFonts w:hAnsi="黑体"/>
          <w:lang w:val="fr-FR"/>
        </w:rPr>
        <w:t>—</w:t>
      </w:r>
      <w:r>
        <w:fldChar w:fldCharType="begin">
          <w:ffData>
            <w:name w:val="NSTD_CODE_B"/>
            <w:enabled/>
            <w:calcOnExit w:val="0"/>
            <w:textInput>
              <w:default w:val="XXXX"/>
            </w:textInput>
          </w:ffData>
        </w:fldChar>
      </w:r>
      <w:bookmarkStart w:id="6" w:name="NSTD_CODE_B"/>
      <w:r>
        <w:rPr>
          <w:lang w:val="fr-FR"/>
        </w:rPr>
        <w:instrText xml:space="preserve"> FORMTEXT </w:instrText>
      </w:r>
      <w:r>
        <w:fldChar w:fldCharType="separate"/>
      </w:r>
      <w:r>
        <w:rPr>
          <w:lang w:val="fr-FR"/>
        </w:rPr>
        <w:t>XXXX</w:t>
      </w:r>
      <w:r>
        <w:fldChar w:fldCharType="end"/>
      </w:r>
      <w:bookmarkEnd w:id="6"/>
    </w:p>
    <w:p>
      <w:pPr>
        <w:pStyle w:val="196"/>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鄂州市党政机关会议服务规范</w:t>
      </w:r>
      <w:r>
        <w:fldChar w:fldCharType="end"/>
      </w:r>
      <w:bookmarkEnd w:id="8"/>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eastAsia="黑体"/>
          <w:szCs w:val="28"/>
        </w:rPr>
        <w:t>Service Management Specifications for Conference Center Venue</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bookmarkStart w:id="259" w:name="_GoBack"/>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259"/>
      <w:bookmarkEnd w:id="10"/>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鄂州市市场监督管理局</w:t>
      </w:r>
      <w:r>
        <w:rPr>
          <w:rFonts w:hAnsi="黑体"/>
          <w:w w:val="100"/>
          <w:sz w:val="28"/>
        </w:rPr>
        <w:fldChar w:fldCharType="end"/>
      </w:r>
      <w:bookmarkEnd w:id="19"/>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59264"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59264;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after="468"/>
      </w:pPr>
      <w:bookmarkStart w:id="20" w:name="_Toc167185134"/>
      <w:bookmarkStart w:id="21" w:name="_Toc167185045"/>
      <w:bookmarkStart w:id="22" w:name="_Toc122465426"/>
      <w:bookmarkStart w:id="23" w:name="_Toc162338618"/>
      <w:bookmarkStart w:id="24" w:name="_Toc144832100"/>
      <w:bookmarkStart w:id="25" w:name="BookMark2"/>
      <w:r>
        <w:rPr>
          <w:spacing w:val="320"/>
        </w:rPr>
        <w:t>前</w:t>
      </w:r>
      <w:r>
        <w:t>言</w:t>
      </w:r>
      <w:bookmarkEnd w:id="20"/>
      <w:bookmarkEnd w:id="21"/>
      <w:bookmarkEnd w:id="22"/>
      <w:bookmarkEnd w:id="23"/>
      <w:bookmarkEnd w:id="24"/>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本文件由鄂州市机关事务服务中心提出并归口。</w:t>
      </w:r>
    </w:p>
    <w:p>
      <w:pPr>
        <w:pStyle w:val="56"/>
        <w:ind w:firstLine="420"/>
      </w:pPr>
      <w:r>
        <w:rPr>
          <w:rFonts w:hint="eastAsia"/>
        </w:rPr>
        <w:t>本文件起草单位：鄂州市机关事务服务中心会务科。</w:t>
      </w:r>
    </w:p>
    <w:p>
      <w:pPr>
        <w:pStyle w:val="56"/>
        <w:ind w:firstLine="420"/>
      </w:pPr>
      <w:r>
        <w:rPr>
          <w:rFonts w:hint="eastAsia"/>
        </w:rPr>
        <w:t>本文件主要起草人：</w:t>
      </w:r>
    </w:p>
    <w:p>
      <w:pPr>
        <w:pStyle w:val="56"/>
        <w:ind w:firstLine="420"/>
      </w:pPr>
    </w:p>
    <w:p>
      <w:pPr>
        <w:pStyle w:val="56"/>
        <w:ind w:firstLine="42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p>
    <w:bookmarkEnd w:id="25"/>
    <w:p>
      <w:pPr>
        <w:spacing w:line="20" w:lineRule="exact"/>
        <w:jc w:val="center"/>
        <w:rPr>
          <w:rFonts w:ascii="黑体" w:hAnsi="黑体" w:eastAsia="黑体"/>
          <w:sz w:val="32"/>
          <w:szCs w:val="32"/>
        </w:rPr>
      </w:pPr>
      <w:bookmarkStart w:id="26" w:name="BookMark4"/>
    </w:p>
    <w:p>
      <w:pPr>
        <w:spacing w:line="20" w:lineRule="exact"/>
        <w:jc w:val="center"/>
        <w:rPr>
          <w:rFonts w:ascii="黑体" w:hAnsi="黑体" w:eastAsia="黑体"/>
          <w:sz w:val="32"/>
          <w:szCs w:val="32"/>
        </w:rPr>
      </w:pPr>
    </w:p>
    <w:sdt>
      <w:sdtPr>
        <w:tag w:val="NEW_STAND_NAME"/>
        <w:id w:val="595910757"/>
        <w:lock w:val="sdtLocked"/>
        <w:placeholder>
          <w:docPart w:val="C6EBB74108DA4A809DBB81848EFC11AD"/>
        </w:placeholder>
      </w:sdtPr>
      <w:sdtContent>
        <w:p>
          <w:pPr>
            <w:pStyle w:val="177"/>
            <w:spacing w:before="3" w:beforeLines="1" w:after="686" w:afterLines="220"/>
          </w:pPr>
          <w:bookmarkStart w:id="27" w:name="NEW_STAND_NAME"/>
          <w:r>
            <w:rPr>
              <w:rFonts w:hint="eastAsia"/>
            </w:rPr>
            <w:t>鄂州市党政机关会议服务规范</w:t>
          </w:r>
        </w:p>
      </w:sdtContent>
    </w:sdt>
    <w:bookmarkEnd w:id="27"/>
    <w:p>
      <w:pPr>
        <w:pStyle w:val="104"/>
        <w:spacing w:before="312" w:after="312"/>
      </w:pPr>
      <w:bookmarkStart w:id="28" w:name="_Toc26986530"/>
      <w:bookmarkStart w:id="29" w:name="_Toc167185135"/>
      <w:bookmarkStart w:id="30" w:name="_Toc17233333"/>
      <w:bookmarkStart w:id="31" w:name="_Toc24884218"/>
      <w:bookmarkStart w:id="32" w:name="_Toc144832101"/>
      <w:bookmarkStart w:id="33" w:name="_Toc122462194"/>
      <w:bookmarkStart w:id="34" w:name="_Toc17233325"/>
      <w:bookmarkStart w:id="35" w:name="_Toc26718930"/>
      <w:bookmarkStart w:id="36" w:name="_Toc26648465"/>
      <w:bookmarkStart w:id="37" w:name="_Toc24884211"/>
      <w:bookmarkStart w:id="38" w:name="_Toc167185046"/>
      <w:bookmarkStart w:id="39" w:name="_Toc162338619"/>
      <w:bookmarkStart w:id="40" w:name="_Toc26986771"/>
      <w:bookmarkStart w:id="41" w:name="_Toc97191423"/>
      <w:bookmarkStart w:id="42" w:name="_Toc122465427"/>
      <w:bookmarkStart w:id="43" w:name="_Toc122462203"/>
      <w:r>
        <w:rPr>
          <w:rFonts w:hint="eastAsia"/>
        </w:rPr>
        <w:t>范围</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56"/>
        <w:ind w:firstLine="420"/>
      </w:pPr>
      <w:bookmarkStart w:id="44" w:name="_Toc24884219"/>
      <w:bookmarkStart w:id="45" w:name="_Toc26648466"/>
      <w:bookmarkStart w:id="46" w:name="_Toc24884212"/>
      <w:bookmarkStart w:id="47" w:name="_Toc17233326"/>
      <w:bookmarkStart w:id="48" w:name="_Toc17233334"/>
      <w:r>
        <w:rPr>
          <w:rFonts w:hint="eastAsia"/>
        </w:rPr>
        <w:t>本文件规定了党政机关会议服务的术语和定义、基本要求、服务内容及质量要求、组织管理、岗位管理、信息与档案管理、设施设备管理、安全与应急和服务评价与改进。</w:t>
      </w:r>
    </w:p>
    <w:p>
      <w:pPr>
        <w:pStyle w:val="56"/>
        <w:ind w:firstLine="420"/>
      </w:pPr>
      <w:r>
        <w:rPr>
          <w:rFonts w:hint="eastAsia"/>
        </w:rPr>
        <w:t>本文件适用于鄂州市党政机关会议服务，其他机构的会议服务亦可参照执行。</w:t>
      </w:r>
    </w:p>
    <w:p>
      <w:pPr>
        <w:pStyle w:val="104"/>
        <w:spacing w:before="312" w:after="312"/>
      </w:pPr>
      <w:bookmarkStart w:id="49" w:name="_Toc122465428"/>
      <w:bookmarkStart w:id="50" w:name="_Toc26718931"/>
      <w:bookmarkStart w:id="51" w:name="_Toc122462204"/>
      <w:bookmarkStart w:id="52" w:name="_Toc26986772"/>
      <w:bookmarkStart w:id="53" w:name="_Toc162338620"/>
      <w:bookmarkStart w:id="54" w:name="_Toc167185047"/>
      <w:bookmarkStart w:id="55" w:name="_Toc144832102"/>
      <w:bookmarkStart w:id="56" w:name="_Toc26986531"/>
      <w:bookmarkStart w:id="57" w:name="_Toc122462195"/>
      <w:bookmarkStart w:id="58" w:name="_Toc167185136"/>
      <w:bookmarkStart w:id="59" w:name="_Toc97191424"/>
      <w:r>
        <w:rPr>
          <w:rFonts w:hint="eastAsia"/>
        </w:rPr>
        <w:t>规范性引用文件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sdt>
      <w:sdtPr>
        <w:rPr>
          <w:rFonts w:hint="eastAsia"/>
        </w:rPr>
        <w:id w:val="715848253"/>
        <w:placeholder>
          <w:docPart w:val="F28C475969A045A0859DAE53A94A3BC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104"/>
        <w:numPr>
          <w:ilvl w:val="0"/>
          <w:numId w:val="0"/>
        </w:numPr>
        <w:spacing w:before="0" w:beforeLines="0" w:after="0" w:afterLines="0"/>
        <w:ind w:firstLine="420" w:firstLineChars="200"/>
        <w:rPr>
          <w:rFonts w:ascii="宋体" w:eastAsia="宋体"/>
        </w:rPr>
      </w:pPr>
      <w:bookmarkStart w:id="60" w:name="_Toc167185048"/>
      <w:bookmarkStart w:id="61" w:name="_Toc167185137"/>
      <w:bookmarkStart w:id="62" w:name="_Toc162338621"/>
      <w:bookmarkStart w:id="63" w:name="_Toc122462196"/>
      <w:bookmarkStart w:id="64" w:name="_Toc144832103"/>
      <w:bookmarkStart w:id="65" w:name="_Toc122462205"/>
      <w:bookmarkStart w:id="66" w:name="_Toc122465429"/>
      <w:bookmarkStart w:id="67" w:name="_Toc97191425"/>
      <w:r>
        <w:rPr>
          <w:rFonts w:ascii="宋体" w:eastAsia="宋体"/>
        </w:rPr>
        <w:t xml:space="preserve">GB 14934  </w:t>
      </w:r>
      <w:r>
        <w:rPr>
          <w:rFonts w:hint="eastAsia" w:ascii="宋体" w:eastAsia="宋体"/>
        </w:rPr>
        <w:t>食品安全国家标准 消毒餐（饮）具</w:t>
      </w:r>
      <w:bookmarkEnd w:id="60"/>
      <w:bookmarkEnd w:id="61"/>
      <w:bookmarkEnd w:id="62"/>
    </w:p>
    <w:p>
      <w:pPr>
        <w:pStyle w:val="104"/>
        <w:numPr>
          <w:ilvl w:val="0"/>
          <w:numId w:val="0"/>
        </w:numPr>
        <w:spacing w:before="0" w:beforeLines="0" w:after="0" w:afterLines="0"/>
        <w:ind w:firstLine="420" w:firstLineChars="200"/>
        <w:rPr>
          <w:rFonts w:ascii="宋体" w:eastAsia="宋体"/>
        </w:rPr>
      </w:pPr>
      <w:bookmarkStart w:id="68" w:name="_Toc162338622"/>
      <w:bookmarkStart w:id="69" w:name="_Toc167185138"/>
      <w:bookmarkStart w:id="70" w:name="_Toc167185049"/>
      <w:r>
        <w:rPr>
          <w:rFonts w:hint="eastAsia" w:ascii="宋体" w:eastAsia="宋体"/>
        </w:rPr>
        <w:t>SB/T 10851 会议中心运营服务规范</w:t>
      </w:r>
      <w:bookmarkEnd w:id="68"/>
      <w:bookmarkEnd w:id="69"/>
      <w:bookmarkEnd w:id="70"/>
    </w:p>
    <w:p>
      <w:pPr>
        <w:pStyle w:val="104"/>
        <w:numPr>
          <w:ilvl w:val="0"/>
          <w:numId w:val="0"/>
        </w:numPr>
        <w:spacing w:before="0" w:beforeLines="0" w:after="0" w:afterLines="0"/>
        <w:ind w:firstLine="420" w:firstLineChars="200"/>
        <w:rPr>
          <w:rFonts w:ascii="宋体" w:eastAsia="宋体"/>
        </w:rPr>
      </w:pPr>
      <w:bookmarkStart w:id="71" w:name="_Toc162338623"/>
      <w:bookmarkStart w:id="72" w:name="_Toc167185050"/>
      <w:bookmarkStart w:id="73" w:name="_Toc167185139"/>
      <w:r>
        <w:rPr>
          <w:rFonts w:ascii="宋体" w:eastAsia="宋体"/>
        </w:rPr>
        <w:t>DB</w:t>
      </w:r>
      <w:r>
        <w:rPr>
          <w:rFonts w:hint="eastAsia" w:ascii="宋体" w:eastAsia="宋体"/>
        </w:rPr>
        <w:t xml:space="preserve"> </w:t>
      </w:r>
      <w:r>
        <w:rPr>
          <w:rFonts w:ascii="宋体" w:eastAsia="宋体"/>
        </w:rPr>
        <w:t>42/T 1487</w:t>
      </w:r>
      <w:r>
        <w:rPr>
          <w:rFonts w:hint="eastAsia" w:ascii="宋体" w:eastAsia="宋体"/>
        </w:rPr>
        <w:t xml:space="preserve"> 党政机关会议服务管理规范</w:t>
      </w:r>
      <w:bookmarkEnd w:id="71"/>
      <w:bookmarkEnd w:id="72"/>
      <w:bookmarkEnd w:id="73"/>
    </w:p>
    <w:p>
      <w:pPr>
        <w:pStyle w:val="104"/>
        <w:spacing w:before="312" w:after="312"/>
      </w:pPr>
      <w:bookmarkStart w:id="74" w:name="_Toc167185051"/>
      <w:bookmarkStart w:id="75" w:name="_Toc167185140"/>
      <w:bookmarkStart w:id="76" w:name="_Toc162338624"/>
      <w:r>
        <w:rPr>
          <w:rFonts w:hint="eastAsia"/>
          <w:szCs w:val="21"/>
        </w:rPr>
        <w:t>术语和定义</w:t>
      </w:r>
      <w:bookmarkEnd w:id="63"/>
      <w:bookmarkEnd w:id="64"/>
      <w:bookmarkEnd w:id="65"/>
      <w:bookmarkEnd w:id="66"/>
      <w:bookmarkEnd w:id="67"/>
      <w:bookmarkEnd w:id="74"/>
      <w:bookmarkEnd w:id="75"/>
      <w:bookmarkEnd w:id="76"/>
    </w:p>
    <w:sdt>
      <w:sdtPr>
        <w:id w:val="-1909835108"/>
        <w:placeholder>
          <w:docPart w:val="227777D746D4417DB703296CE8B369A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77" w:name="_Toc26986532"/>
          <w:bookmarkEnd w:id="77"/>
          <w:r>
            <w:t>下列术语和定义适用于本文件。</w:t>
          </w:r>
        </w:p>
      </w:sdtContent>
    </w:sdt>
    <w:p>
      <w:pPr>
        <w:pStyle w:val="162"/>
        <w:spacing w:before="156" w:beforeLines="50" w:after="156" w:afterLines="50"/>
      </w:pPr>
    </w:p>
    <w:p>
      <w:pPr>
        <w:pStyle w:val="162"/>
        <w:numPr>
          <w:ilvl w:val="0"/>
          <w:numId w:val="0"/>
        </w:numPr>
        <w:spacing w:before="156" w:beforeLines="50" w:after="156" w:afterLines="50"/>
        <w:ind w:firstLine="420" w:firstLineChars="200"/>
      </w:pPr>
      <w:r>
        <w:rPr>
          <w:rFonts w:hint="eastAsia" w:ascii="黑体" w:hAnsi="黑体" w:eastAsia="黑体"/>
        </w:rPr>
        <w:t xml:space="preserve">会议 </w:t>
      </w:r>
      <w:r>
        <w:rPr>
          <w:rFonts w:ascii="黑体" w:hAnsi="黑体" w:eastAsia="黑体"/>
        </w:rPr>
        <w:t>meetings</w:t>
      </w:r>
    </w:p>
    <w:p>
      <w:pPr>
        <w:pStyle w:val="162"/>
        <w:numPr>
          <w:ilvl w:val="0"/>
          <w:numId w:val="0"/>
        </w:numPr>
        <w:ind w:firstLine="420" w:firstLineChars="200"/>
      </w:pPr>
      <w:r>
        <w:rPr>
          <w:rFonts w:hint="eastAsia"/>
        </w:rPr>
        <w:t>在特定的时间和空间，通过发言、讨论、演示、商议、表决等多种形式以达到议事协调、交流信息、传播知识、推介联络等目的的一定人数的群体活动。</w:t>
      </w:r>
    </w:p>
    <w:p>
      <w:pPr>
        <w:pStyle w:val="162"/>
        <w:spacing w:before="156" w:beforeLines="50" w:after="156" w:afterLines="50"/>
        <w:rPr>
          <w:rFonts w:ascii="黑体" w:hAnsi="黑体" w:eastAsia="黑体"/>
        </w:rPr>
      </w:pPr>
    </w:p>
    <w:p>
      <w:pPr>
        <w:pStyle w:val="162"/>
        <w:numPr>
          <w:ilvl w:val="0"/>
          <w:numId w:val="0"/>
        </w:numPr>
        <w:spacing w:before="156" w:beforeLines="50" w:after="156" w:afterLines="50"/>
        <w:ind w:firstLine="420" w:firstLineChars="200"/>
        <w:rPr>
          <w:rFonts w:ascii="黑体" w:hAnsi="黑体" w:eastAsia="黑体"/>
        </w:rPr>
      </w:pPr>
      <w:r>
        <w:rPr>
          <w:rFonts w:hint="eastAsia" w:ascii="黑体" w:hAnsi="黑体" w:eastAsia="黑体"/>
        </w:rPr>
        <w:t xml:space="preserve">党政机关会议 </w:t>
      </w:r>
      <w:r>
        <w:rPr>
          <w:rFonts w:ascii="黑体" w:hAnsi="黑体" w:eastAsia="黑体"/>
        </w:rPr>
        <w:t>meetings of party and government organs</w:t>
      </w:r>
    </w:p>
    <w:p>
      <w:pPr>
        <w:pStyle w:val="162"/>
        <w:numPr>
          <w:ilvl w:val="0"/>
          <w:numId w:val="0"/>
        </w:numPr>
        <w:ind w:firstLine="420" w:firstLineChars="200"/>
      </w:pPr>
      <w:r>
        <w:rPr>
          <w:rFonts w:hint="eastAsia"/>
        </w:rPr>
        <w:t>党的机关、人大机关、行政机关、政协机关、监察机关、审判机关、检察机关，以及各民主党派、工商联、各人民团体和参照公务员法管理的事业单位主办的会议。</w:t>
      </w:r>
    </w:p>
    <w:p>
      <w:pPr>
        <w:pStyle w:val="162"/>
        <w:spacing w:before="156" w:beforeLines="50" w:after="156" w:afterLines="50"/>
        <w:rPr>
          <w:rFonts w:ascii="黑体" w:hAnsi="黑体" w:eastAsia="黑体"/>
        </w:rPr>
      </w:pPr>
    </w:p>
    <w:p>
      <w:pPr>
        <w:pStyle w:val="162"/>
        <w:numPr>
          <w:ilvl w:val="0"/>
          <w:numId w:val="0"/>
        </w:numPr>
        <w:spacing w:before="156" w:beforeLines="50" w:after="156" w:afterLines="50"/>
        <w:ind w:firstLine="420" w:firstLineChars="200"/>
        <w:rPr>
          <w:rFonts w:ascii="黑体" w:hAnsi="黑体" w:eastAsia="黑体"/>
        </w:rPr>
      </w:pPr>
      <w:r>
        <w:rPr>
          <w:rFonts w:hint="eastAsia" w:ascii="黑体" w:hAnsi="黑体" w:eastAsia="黑体"/>
        </w:rPr>
        <w:t>会议服务</w:t>
      </w:r>
      <w:r>
        <w:rPr>
          <w:rFonts w:ascii="黑体" w:hAnsi="黑体" w:eastAsia="黑体"/>
        </w:rPr>
        <w:t>conference services</w:t>
      </w:r>
    </w:p>
    <w:p>
      <w:pPr>
        <w:pStyle w:val="162"/>
        <w:numPr>
          <w:ilvl w:val="0"/>
          <w:numId w:val="0"/>
        </w:numPr>
        <w:ind w:left="420"/>
      </w:pPr>
      <w:r>
        <w:rPr>
          <w:rFonts w:hint="eastAsia"/>
        </w:rPr>
        <w:t>利用人员、场地、设施等资源，提供保证会议顺利有序开展的贯穿会前、会中、会后的配套服务。</w:t>
      </w:r>
    </w:p>
    <w:p>
      <w:pPr>
        <w:pStyle w:val="104"/>
        <w:spacing w:before="312" w:after="312"/>
      </w:pPr>
      <w:bookmarkStart w:id="78" w:name="_Toc167185141"/>
      <w:bookmarkStart w:id="79" w:name="_Toc162338625"/>
      <w:bookmarkStart w:id="80" w:name="_Toc144832104"/>
      <w:bookmarkStart w:id="81" w:name="_Toc167185052"/>
      <w:r>
        <w:rPr>
          <w:rFonts w:hint="eastAsia"/>
        </w:rPr>
        <w:t>基本要求</w:t>
      </w:r>
      <w:bookmarkEnd w:id="78"/>
      <w:bookmarkEnd w:id="79"/>
      <w:bookmarkEnd w:id="80"/>
      <w:bookmarkEnd w:id="81"/>
    </w:p>
    <w:p>
      <w:pPr>
        <w:pStyle w:val="162"/>
      </w:pPr>
      <w:r>
        <w:rPr>
          <w:rFonts w:hint="eastAsia" w:ascii="黑体" w:hAnsi="黑体" w:eastAsia="黑体"/>
        </w:rPr>
        <w:t>服务机构</w:t>
      </w:r>
    </w:p>
    <w:p>
      <w:pPr>
        <w:pStyle w:val="162"/>
        <w:numPr>
          <w:ilvl w:val="0"/>
          <w:numId w:val="0"/>
        </w:numPr>
        <w:spacing w:before="156" w:beforeLines="50" w:after="156" w:afterLines="50"/>
      </w:pPr>
      <w:r>
        <w:rPr>
          <w:rFonts w:hint="eastAsia"/>
        </w:rPr>
        <w:t xml:space="preserve">    应具有党政机关会议定点场所资格，资质、场所、运营管理等应符合 SB/T 10851会议中心运营服务规范的相关要求。</w:t>
      </w:r>
    </w:p>
    <w:p>
      <w:pPr>
        <w:pStyle w:val="162"/>
        <w:rPr>
          <w:rFonts w:ascii="黑体" w:hAnsi="黑体" w:eastAsia="黑体"/>
        </w:rPr>
      </w:pPr>
      <w:r>
        <w:rPr>
          <w:rFonts w:hint="eastAsia" w:ascii="黑体" w:hAnsi="黑体" w:eastAsia="黑体"/>
        </w:rPr>
        <w:t>制度建设</w:t>
      </w:r>
    </w:p>
    <w:p>
      <w:pPr>
        <w:pStyle w:val="162"/>
        <w:numPr>
          <w:ilvl w:val="0"/>
          <w:numId w:val="0"/>
        </w:numPr>
        <w:spacing w:before="156" w:beforeLines="50" w:after="156" w:afterLines="50"/>
      </w:pPr>
      <w:r>
        <w:rPr>
          <w:rFonts w:hint="eastAsia"/>
        </w:rPr>
        <w:t xml:space="preserve">    应建立目标管理、会议接待、礼宾服务培训、设施设备管理、安全管理、信息与档案管理、财务管理等规章制度，并形成档案文件。</w:t>
      </w:r>
    </w:p>
    <w:p>
      <w:pPr>
        <w:pStyle w:val="162"/>
        <w:spacing w:line="360" w:lineRule="auto"/>
      </w:pPr>
      <w:r>
        <w:rPr>
          <w:rFonts w:hint="eastAsia" w:ascii="黑体" w:hAnsi="黑体" w:eastAsia="黑体"/>
        </w:rPr>
        <w:t>人员要求</w:t>
      </w:r>
    </w:p>
    <w:p>
      <w:pPr>
        <w:pStyle w:val="165"/>
        <w:spacing w:line="360" w:lineRule="auto"/>
        <w:rPr>
          <w:rFonts w:ascii="黑体" w:hAnsi="黑体" w:eastAsia="黑体"/>
        </w:rPr>
      </w:pPr>
      <w:r>
        <w:rPr>
          <w:rFonts w:hint="eastAsia" w:ascii="黑体" w:hAnsi="黑体" w:eastAsia="黑体"/>
        </w:rPr>
        <w:t>基本资质</w:t>
      </w:r>
    </w:p>
    <w:p>
      <w:pPr>
        <w:pStyle w:val="165"/>
        <w:numPr>
          <w:ilvl w:val="0"/>
          <w:numId w:val="0"/>
        </w:numPr>
        <w:spacing w:line="360" w:lineRule="auto"/>
        <w:ind w:firstLine="630" w:firstLineChars="300"/>
        <w:rPr>
          <w:rFonts w:hAnsi="宋体"/>
        </w:rPr>
      </w:pPr>
      <w:r>
        <w:rPr>
          <w:rFonts w:hint="eastAsia" w:hAnsi="宋体"/>
        </w:rPr>
        <w:t>应配备会议负责人，负责工作对接、会议监管和设备管理等。</w:t>
      </w:r>
    </w:p>
    <w:p>
      <w:pPr>
        <w:pStyle w:val="165"/>
      </w:pPr>
      <w:bookmarkStart w:id="82" w:name="_Toc162338626"/>
      <w:bookmarkStart w:id="83" w:name="_Toc144832105"/>
      <w:r>
        <w:rPr>
          <w:rFonts w:hint="eastAsia"/>
        </w:rPr>
        <w:t>应根据会议服务岗位的需要配置相应的专职服务人员，服务人员的身心健康状况、年龄、文化水平、工作经验、政治面貌、外在形象、沟通应变能力等应符合岗位要求，根据不同会议等级（见附录A会议分类表），设置不同服务岗位的人数及要求。</w:t>
      </w:r>
    </w:p>
    <w:p>
      <w:pPr>
        <w:pStyle w:val="165"/>
      </w:pPr>
      <w:r>
        <w:rPr>
          <w:rFonts w:hint="eastAsia"/>
        </w:rPr>
        <w:t>会议服务人员上岗前需接受系统培训，培训内容应包括但不限于以下方面：</w:t>
      </w:r>
    </w:p>
    <w:p>
      <w:pPr>
        <w:pStyle w:val="132"/>
      </w:pPr>
      <w:r>
        <w:rPr>
          <w:rFonts w:hint="eastAsia"/>
        </w:rPr>
        <w:t xml:space="preserve">服务理念和组织文化； </w:t>
      </w:r>
    </w:p>
    <w:p>
      <w:pPr>
        <w:pStyle w:val="132"/>
      </w:pPr>
      <w:r>
        <w:rPr>
          <w:rFonts w:hint="eastAsia"/>
        </w:rPr>
        <w:t>会议服务和管理的理论知识及实操训练；</w:t>
      </w:r>
    </w:p>
    <w:p>
      <w:pPr>
        <w:pStyle w:val="132"/>
      </w:pPr>
      <w:r>
        <w:rPr>
          <w:rFonts w:hint="eastAsia"/>
        </w:rPr>
        <w:t>会议服务的保密制度管理；</w:t>
      </w:r>
    </w:p>
    <w:p>
      <w:pPr>
        <w:pStyle w:val="132"/>
      </w:pPr>
      <w:r>
        <w:rPr>
          <w:rFonts w:hint="eastAsia"/>
        </w:rPr>
        <w:t>会议服务人员的行为礼仪；</w:t>
      </w:r>
    </w:p>
    <w:p>
      <w:pPr>
        <w:pStyle w:val="132"/>
      </w:pPr>
      <w:r>
        <w:rPr>
          <w:rFonts w:hint="eastAsia"/>
        </w:rPr>
        <w:t>常见会议突发事件的应对；</w:t>
      </w:r>
    </w:p>
    <w:p>
      <w:pPr>
        <w:pStyle w:val="132"/>
      </w:pPr>
      <w:r>
        <w:rPr>
          <w:rFonts w:hint="eastAsia"/>
        </w:rPr>
        <w:t>会议室及相关设施设备情况。</w:t>
      </w:r>
    </w:p>
    <w:p>
      <w:pPr>
        <w:pStyle w:val="104"/>
        <w:numPr>
          <w:ilvl w:val="0"/>
          <w:numId w:val="0"/>
        </w:numPr>
        <w:spacing w:before="0" w:beforeLines="0" w:after="0" w:afterLines="0"/>
        <w:rPr>
          <w:rFonts w:ascii="宋体" w:eastAsia="宋体"/>
        </w:rPr>
      </w:pPr>
      <w:bookmarkStart w:id="84" w:name="_Toc167185053"/>
      <w:bookmarkStart w:id="85" w:name="_Toc167185142"/>
      <w:r>
        <w:rPr>
          <w:rFonts w:hint="eastAsia" w:ascii="宋体" w:eastAsia="宋体"/>
        </w:rPr>
        <w:t>4.3.4 会议服务人员统一着装、标志鲜明，熟悉会议礼仪，会议服务人员行为规范见附录B。</w:t>
      </w:r>
      <w:bookmarkEnd w:id="84"/>
      <w:bookmarkEnd w:id="85"/>
    </w:p>
    <w:p>
      <w:pPr>
        <w:pStyle w:val="104"/>
        <w:numPr>
          <w:ilvl w:val="0"/>
          <w:numId w:val="0"/>
        </w:numPr>
        <w:spacing w:before="0" w:beforeLines="0" w:after="0" w:afterLines="0"/>
        <w:rPr>
          <w:rFonts w:ascii="宋体" w:eastAsia="宋体"/>
        </w:rPr>
      </w:pPr>
      <w:bookmarkStart w:id="86" w:name="_Toc167185143"/>
      <w:bookmarkStart w:id="87" w:name="_Toc167185054"/>
      <w:r>
        <w:rPr>
          <w:rFonts w:hint="eastAsia" w:ascii="宋体" w:eastAsia="宋体"/>
        </w:rPr>
        <w:t>4.3.5 应对会务服务人员每季度开展评价考核，持续改进服务质量，考核内容包括但不限于：服务品质、工作创新、服务形象、工作纪律、学习能力等。</w:t>
      </w:r>
      <w:bookmarkEnd w:id="86"/>
      <w:bookmarkEnd w:id="87"/>
    </w:p>
    <w:p>
      <w:pPr>
        <w:pStyle w:val="104"/>
        <w:spacing w:before="312" w:after="312"/>
      </w:pPr>
      <w:bookmarkStart w:id="88" w:name="_Toc167185055"/>
      <w:bookmarkStart w:id="89" w:name="_Toc167185144"/>
      <w:r>
        <w:rPr>
          <w:rFonts w:hint="eastAsia"/>
        </w:rPr>
        <w:t>服务需求</w:t>
      </w:r>
      <w:bookmarkEnd w:id="82"/>
      <w:bookmarkEnd w:id="88"/>
      <w:bookmarkEnd w:id="89"/>
    </w:p>
    <w:p>
      <w:pPr>
        <w:pStyle w:val="162"/>
        <w:spacing w:before="156" w:beforeLines="50" w:after="156" w:afterLines="50"/>
        <w:rPr>
          <w:rFonts w:ascii="黑体" w:hAnsi="黑体" w:eastAsia="黑体"/>
        </w:rPr>
      </w:pPr>
      <w:r>
        <w:rPr>
          <w:rFonts w:hint="eastAsia" w:ascii="黑体" w:hAnsi="黑体" w:eastAsia="黑体"/>
        </w:rPr>
        <w:t>会议预订</w:t>
      </w:r>
    </w:p>
    <w:p>
      <w:pPr>
        <w:pStyle w:val="165"/>
      </w:pPr>
      <w:r>
        <w:rPr>
          <w:rFonts w:hint="eastAsia" w:hAnsi="宋体"/>
        </w:rPr>
        <w:t>接待来访的会议主办单位应确定会议的规模、等级、规格和要求。</w:t>
      </w:r>
    </w:p>
    <w:p>
      <w:pPr>
        <w:pStyle w:val="165"/>
      </w:pPr>
      <w:r>
        <w:rPr>
          <w:rFonts w:hint="eastAsia"/>
        </w:rPr>
        <w:t>应确定一名会议负责人，全程跟进会议服务工作，持续至会议结束。</w:t>
      </w:r>
    </w:p>
    <w:p>
      <w:pPr>
        <w:pStyle w:val="165"/>
        <w:spacing w:before="156" w:beforeLines="50" w:after="156" w:afterLines="50"/>
        <w:rPr>
          <w:rFonts w:ascii="黑体" w:hAnsi="黑体" w:eastAsia="黑体"/>
        </w:rPr>
      </w:pPr>
      <w:r>
        <w:rPr>
          <w:rFonts w:hint="eastAsia" w:ascii="黑体" w:hAnsi="黑体" w:eastAsia="黑体"/>
        </w:rPr>
        <w:t>会议确认</w:t>
      </w:r>
    </w:p>
    <w:p>
      <w:pPr>
        <w:pStyle w:val="162"/>
        <w:numPr>
          <w:ilvl w:val="0"/>
          <w:numId w:val="0"/>
        </w:numPr>
      </w:pPr>
      <w:r>
        <w:rPr>
          <w:rFonts w:hint="eastAsia"/>
        </w:rPr>
        <w:t xml:space="preserve"> </w:t>
      </w:r>
      <w:r>
        <w:t xml:space="preserve">  </w:t>
      </w:r>
      <w:r>
        <w:rPr>
          <w:rFonts w:hint="eastAsia"/>
        </w:rPr>
        <w:t>会前确认应包括以下内容：</w:t>
      </w:r>
    </w:p>
    <w:p>
      <w:pPr>
        <w:pStyle w:val="132"/>
      </w:pPr>
      <w:r>
        <w:rPr>
          <w:rFonts w:hint="eastAsia"/>
        </w:rPr>
        <w:t>会议主办单位的名称、通讯地址、联系人及电话；</w:t>
      </w:r>
    </w:p>
    <w:p>
      <w:pPr>
        <w:pStyle w:val="132"/>
      </w:pPr>
      <w:r>
        <w:rPr>
          <w:rFonts w:hint="eastAsia"/>
        </w:rPr>
        <w:t>会议时间、会议日程、参会人数、服务项目、会议用品和设备要求等；</w:t>
      </w:r>
    </w:p>
    <w:p>
      <w:pPr>
        <w:pStyle w:val="132"/>
        <w:ind w:left="850" w:hanging="425"/>
      </w:pPr>
      <w:r>
        <w:rPr>
          <w:rFonts w:hint="eastAsia"/>
        </w:rPr>
        <w:t>按照服务功能和财政部门规定的收费标准，确定会议费用，会议主办单位需提供会议预订表（见附录C），并按审批表的要求分解会议服务内容，下达工作任务；</w:t>
      </w:r>
    </w:p>
    <w:p>
      <w:pPr>
        <w:pStyle w:val="132"/>
        <w:ind w:left="850" w:hanging="425"/>
      </w:pPr>
      <w:r>
        <w:rPr>
          <w:rFonts w:hint="eastAsia"/>
        </w:rPr>
        <w:t>若会议方案发生人数、场所、日期等重大变更，应以会议主办单位的书面通知为准，由专人负责变更。</w:t>
      </w:r>
    </w:p>
    <w:p>
      <w:pPr>
        <w:pStyle w:val="162"/>
        <w:spacing w:before="156" w:beforeLines="50" w:after="156" w:afterLines="50"/>
        <w:rPr>
          <w:rFonts w:ascii="黑体" w:hAnsi="黑体" w:eastAsia="黑体"/>
        </w:rPr>
      </w:pPr>
      <w:r>
        <w:rPr>
          <w:rFonts w:hint="eastAsia" w:ascii="黑体" w:hAnsi="黑体" w:eastAsia="黑体"/>
        </w:rPr>
        <w:t>会前准备</w:t>
      </w:r>
    </w:p>
    <w:p>
      <w:pPr>
        <w:pStyle w:val="165"/>
        <w:spacing w:before="156" w:beforeLines="50" w:after="156" w:afterLines="50"/>
        <w:rPr>
          <w:rFonts w:ascii="黑体" w:hAnsi="黑体" w:eastAsia="黑体"/>
        </w:rPr>
      </w:pPr>
      <w:r>
        <w:rPr>
          <w:rFonts w:hint="eastAsia" w:ascii="黑体" w:hAnsi="黑体" w:eastAsia="黑体"/>
        </w:rPr>
        <w:t>方案制定</w:t>
      </w:r>
    </w:p>
    <w:p>
      <w:pPr>
        <w:pStyle w:val="165"/>
        <w:numPr>
          <w:ilvl w:val="0"/>
          <w:numId w:val="0"/>
        </w:numPr>
        <w:ind w:firstLine="420" w:firstLineChars="200"/>
        <w:rPr>
          <w:rFonts w:hAnsi="宋体"/>
        </w:rPr>
      </w:pPr>
      <w:r>
        <w:rPr>
          <w:rFonts w:hint="eastAsia" w:hAnsi="宋体"/>
        </w:rPr>
        <w:t>按照会议规模定制会议服务保障工作方案，明确各相关部门及岗位工作职责、服务人员数量、时间安排等事项，并填写会前服务工作清单（附录D） 会议方案包括但不限于以下基本内容:</w:t>
      </w:r>
    </w:p>
    <w:p>
      <w:pPr>
        <w:pStyle w:val="165"/>
        <w:numPr>
          <w:ilvl w:val="0"/>
          <w:numId w:val="0"/>
        </w:numPr>
        <w:ind w:firstLine="420" w:firstLineChars="200"/>
      </w:pPr>
      <w:r>
        <w:rPr>
          <w:rFonts w:hint="eastAsia"/>
        </w:rPr>
        <w:t>——会议名称；</w:t>
      </w:r>
    </w:p>
    <w:p>
      <w:pPr>
        <w:pStyle w:val="165"/>
        <w:numPr>
          <w:ilvl w:val="0"/>
          <w:numId w:val="0"/>
        </w:numPr>
        <w:ind w:left="284" w:firstLine="105" w:firstLineChars="50"/>
      </w:pPr>
      <w:r>
        <w:rPr>
          <w:rFonts w:hint="eastAsia"/>
        </w:rPr>
        <w:t>——会议日期、 时间和人数规模；</w:t>
      </w:r>
    </w:p>
    <w:p>
      <w:pPr>
        <w:pStyle w:val="165"/>
        <w:numPr>
          <w:ilvl w:val="0"/>
          <w:numId w:val="0"/>
        </w:numPr>
        <w:ind w:left="284" w:firstLine="105" w:firstLineChars="50"/>
      </w:pPr>
      <w:r>
        <w:rPr>
          <w:rFonts w:hint="eastAsia"/>
        </w:rPr>
        <w:t>——会议场地使用安排及台型、 座位图设计；</w:t>
      </w:r>
    </w:p>
    <w:p>
      <w:pPr>
        <w:pStyle w:val="165"/>
        <w:numPr>
          <w:ilvl w:val="0"/>
          <w:numId w:val="0"/>
        </w:numPr>
        <w:ind w:left="284" w:firstLine="105" w:firstLineChars="50"/>
      </w:pPr>
      <w:r>
        <w:rPr>
          <w:rFonts w:hint="eastAsia"/>
        </w:rPr>
        <w:t>——参会领导名单；</w:t>
      </w:r>
    </w:p>
    <w:p>
      <w:pPr>
        <w:pStyle w:val="165"/>
        <w:numPr>
          <w:ilvl w:val="0"/>
          <w:numId w:val="0"/>
        </w:numPr>
        <w:ind w:left="284" w:firstLine="105" w:firstLineChars="50"/>
      </w:pPr>
      <w:r>
        <w:rPr>
          <w:rFonts w:hint="eastAsia"/>
        </w:rPr>
        <w:t>——会务用品及硬件设施配备；</w:t>
      </w:r>
    </w:p>
    <w:p>
      <w:pPr>
        <w:pStyle w:val="165"/>
        <w:numPr>
          <w:ilvl w:val="0"/>
          <w:numId w:val="0"/>
        </w:numPr>
        <w:ind w:left="284" w:firstLine="105" w:firstLineChars="50"/>
      </w:pPr>
      <w:r>
        <w:rPr>
          <w:rFonts w:hint="eastAsia"/>
        </w:rPr>
        <w:t>——会议记录、拍摄、录音等要求；</w:t>
      </w:r>
    </w:p>
    <w:p>
      <w:pPr>
        <w:pStyle w:val="165"/>
        <w:numPr>
          <w:ilvl w:val="0"/>
          <w:numId w:val="0"/>
        </w:numPr>
        <w:ind w:left="284" w:firstLine="105" w:firstLineChars="50"/>
      </w:pPr>
      <w:r>
        <w:rPr>
          <w:rFonts w:hint="eastAsia"/>
        </w:rPr>
        <w:t>——会议保障措施（交通和停车方案、突发事件应对措施、会议秩序及安全等）；</w:t>
      </w:r>
    </w:p>
    <w:p>
      <w:pPr>
        <w:pStyle w:val="165"/>
        <w:numPr>
          <w:ilvl w:val="0"/>
          <w:numId w:val="0"/>
        </w:numPr>
        <w:ind w:left="284" w:firstLine="105" w:firstLineChars="50"/>
      </w:pPr>
      <w:r>
        <w:rPr>
          <w:rFonts w:hint="eastAsia"/>
        </w:rPr>
        <w:t>——会议主办方及承办方名称、联系方式；</w:t>
      </w:r>
    </w:p>
    <w:p>
      <w:pPr>
        <w:pStyle w:val="165"/>
        <w:numPr>
          <w:ilvl w:val="0"/>
          <w:numId w:val="0"/>
        </w:numPr>
        <w:ind w:left="284" w:firstLine="105" w:firstLineChars="50"/>
      </w:pPr>
      <w:r>
        <w:rPr>
          <w:rFonts w:hint="eastAsia"/>
        </w:rPr>
        <w:t>——其他个性化需求。</w:t>
      </w:r>
    </w:p>
    <w:p>
      <w:pPr>
        <w:pStyle w:val="165"/>
        <w:spacing w:before="156" w:beforeLines="50" w:after="156" w:afterLines="50"/>
        <w:rPr>
          <w:rFonts w:ascii="黑体" w:hAnsi="黑体" w:eastAsia="黑体"/>
        </w:rPr>
      </w:pPr>
      <w:r>
        <w:rPr>
          <w:rFonts w:hint="eastAsia" w:ascii="黑体" w:hAnsi="黑体" w:eastAsia="黑体"/>
        </w:rPr>
        <w:t>会议用品摆放及布局</w:t>
      </w:r>
    </w:p>
    <w:p>
      <w:pPr>
        <w:pStyle w:val="164"/>
        <w:spacing w:before="156" w:beforeLines="50" w:after="156" w:afterLines="50"/>
        <w:rPr>
          <w:rFonts w:ascii="黑体" w:hAnsi="黑体" w:eastAsia="黑体"/>
        </w:rPr>
      </w:pPr>
      <w:r>
        <w:rPr>
          <w:rFonts w:hint="eastAsia" w:ascii="黑体" w:hAnsi="黑体" w:eastAsia="黑体"/>
        </w:rPr>
        <w:t>会场布局</w:t>
      </w:r>
    </w:p>
    <w:p>
      <w:pPr>
        <w:pStyle w:val="164"/>
        <w:numPr>
          <w:ilvl w:val="0"/>
          <w:numId w:val="0"/>
        </w:numPr>
      </w:pPr>
      <w:r>
        <w:rPr>
          <w:rFonts w:hint="eastAsia"/>
        </w:rPr>
        <w:t xml:space="preserve"> </w:t>
      </w:r>
      <w:r>
        <w:t xml:space="preserve">   </w:t>
      </w:r>
      <w:r>
        <w:rPr>
          <w:rFonts w:hint="eastAsia"/>
        </w:rPr>
        <w:t>会场布局包括但不限于以下内容：</w:t>
      </w:r>
    </w:p>
    <w:p>
      <w:pPr>
        <w:pStyle w:val="132"/>
      </w:pPr>
      <w:r>
        <w:rPr>
          <w:rFonts w:hint="eastAsia"/>
        </w:rPr>
        <w:t>会场桌椅、席卡、杯碟、毛巾碟、话筒摆放应按照DB42T 1487党政机关会议服务管理规范执</w:t>
      </w:r>
    </w:p>
    <w:p>
      <w:pPr>
        <w:pStyle w:val="132"/>
        <w:numPr>
          <w:ilvl w:val="0"/>
          <w:numId w:val="0"/>
        </w:numPr>
      </w:pPr>
      <w:r>
        <w:rPr>
          <w:rFonts w:hint="eastAsia"/>
        </w:rPr>
        <w:t>行；</w:t>
      </w:r>
    </w:p>
    <w:p>
      <w:pPr>
        <w:pStyle w:val="132"/>
      </w:pPr>
      <w:r>
        <w:rPr>
          <w:rFonts w:hint="eastAsia"/>
        </w:rPr>
        <w:t>会议主办单位提前2天向会议服务保障单位提供会标、宣传横幅、会议水牌、席卡、贴条、</w:t>
      </w:r>
    </w:p>
    <w:p>
      <w:pPr>
        <w:pStyle w:val="132"/>
        <w:numPr>
          <w:ilvl w:val="0"/>
          <w:numId w:val="0"/>
        </w:numPr>
      </w:pPr>
      <w:r>
        <w:rPr>
          <w:rFonts w:hint="eastAsia"/>
        </w:rPr>
        <w:t>会议主持词和会议议程等具体内容；</w:t>
      </w:r>
    </w:p>
    <w:p>
      <w:pPr>
        <w:pStyle w:val="132"/>
      </w:pPr>
      <w:r>
        <w:rPr>
          <w:rFonts w:hint="eastAsia"/>
        </w:rPr>
        <w:t>根据会议主办单位的需求布置会场，其中重要会议宜提前2h布置完毕;一般会议宜提前6</w:t>
      </w:r>
    </w:p>
    <w:p>
      <w:pPr>
        <w:pStyle w:val="132"/>
        <w:numPr>
          <w:ilvl w:val="0"/>
          <w:numId w:val="0"/>
        </w:numPr>
      </w:pPr>
      <w:r>
        <w:rPr>
          <w:rFonts w:hint="eastAsia"/>
        </w:rPr>
        <w:t>h布置完毕。</w:t>
      </w:r>
    </w:p>
    <w:p>
      <w:pPr>
        <w:pStyle w:val="165"/>
        <w:spacing w:before="156" w:beforeLines="50" w:after="156" w:afterLines="50"/>
        <w:rPr>
          <w:rFonts w:ascii="黑体" w:hAnsi="黑体" w:eastAsia="黑体"/>
        </w:rPr>
      </w:pPr>
      <w:r>
        <w:rPr>
          <w:rFonts w:hint="eastAsia" w:ascii="黑体" w:hAnsi="黑体" w:eastAsia="黑体"/>
        </w:rPr>
        <w:t>人员安排</w:t>
      </w:r>
    </w:p>
    <w:p>
      <w:pPr>
        <w:pStyle w:val="162"/>
        <w:numPr>
          <w:ilvl w:val="0"/>
          <w:numId w:val="0"/>
        </w:numPr>
        <w:spacing w:before="156" w:beforeLines="50" w:after="156" w:afterLines="50"/>
        <w:ind w:firstLine="420" w:firstLineChars="200"/>
      </w:pPr>
      <w:r>
        <w:rPr>
          <w:rFonts w:hint="eastAsia"/>
        </w:rPr>
        <w:t>会议服务人员会前1h到岗，调试音响、灯光、视频设备，确保设备正常运行会前0.5h站岗。</w:t>
      </w:r>
    </w:p>
    <w:bookmarkEnd w:id="83"/>
    <w:p>
      <w:pPr>
        <w:pStyle w:val="162"/>
        <w:spacing w:before="156" w:beforeLines="50" w:after="156" w:afterLines="50"/>
        <w:rPr>
          <w:rFonts w:ascii="黑体" w:hAnsi="黑体" w:eastAsia="黑体"/>
        </w:rPr>
      </w:pPr>
      <w:r>
        <w:rPr>
          <w:rFonts w:hint="eastAsia" w:ascii="黑体" w:hAnsi="黑体" w:eastAsia="黑体"/>
        </w:rPr>
        <w:t>会中服务</w:t>
      </w:r>
    </w:p>
    <w:p>
      <w:pPr>
        <w:pStyle w:val="165"/>
        <w:rPr>
          <w:rFonts w:hAnsi="宋体"/>
        </w:rPr>
      </w:pPr>
      <w:r>
        <w:rPr>
          <w:rFonts w:hint="eastAsia" w:hAnsi="宋体"/>
        </w:rPr>
        <w:t>会议中途每隔30m</w:t>
      </w:r>
      <w:r>
        <w:rPr>
          <w:rFonts w:hAnsi="宋体"/>
        </w:rPr>
        <w:t>in</w:t>
      </w:r>
      <w:r>
        <w:rPr>
          <w:rFonts w:hint="eastAsia" w:hAnsi="宋体"/>
        </w:rPr>
        <w:t>续水1次。</w:t>
      </w:r>
    </w:p>
    <w:p>
      <w:pPr>
        <w:pStyle w:val="165"/>
        <w:rPr>
          <w:rFonts w:hAnsi="宋体"/>
        </w:rPr>
      </w:pPr>
      <w:r>
        <w:rPr>
          <w:rFonts w:hint="eastAsia" w:hAnsi="宋体"/>
        </w:rPr>
        <w:t>除保密会议外，服务人员应在会场内候场，密切关注会场内动态，发现问题及时处理。中途有参会代表、工作人员进出，应主动帮其开关门，服务人员应主动递上茶水，并指明卫生间所在方位。</w:t>
      </w:r>
    </w:p>
    <w:p>
      <w:pPr>
        <w:pStyle w:val="165"/>
        <w:rPr>
          <w:rFonts w:hAnsi="宋体"/>
        </w:rPr>
      </w:pPr>
      <w:r>
        <w:rPr>
          <w:rFonts w:hint="eastAsia" w:hAnsi="宋体"/>
        </w:rPr>
        <w:t>应做好音响、灯光、视频操作的全程跟踪，指派人员值守，现场巡视。根据现场情况控制会场音量及灯光效果。办会单位有会议录音录屏需求时，视频技术人员做好会议的录音录像，保密会议在录音录像时应采取不易复制的媒介（录音带、录像带）进行会议记录。</w:t>
      </w:r>
    </w:p>
    <w:p>
      <w:pPr>
        <w:pStyle w:val="165"/>
        <w:rPr>
          <w:rFonts w:hAnsi="宋体"/>
        </w:rPr>
      </w:pPr>
      <w:r>
        <w:rPr>
          <w:rFonts w:hint="eastAsia" w:hAnsi="宋体"/>
        </w:rPr>
        <w:t>语言类活动音量应控制在60dB±10dB，文娱类活动音量控制在90dB±10dB，会前暖场音乐音量控制在40dB±5dB。</w:t>
      </w:r>
    </w:p>
    <w:p>
      <w:pPr>
        <w:pStyle w:val="165"/>
        <w:rPr>
          <w:rFonts w:hAnsi="宋体"/>
        </w:rPr>
      </w:pPr>
      <w:r>
        <w:rPr>
          <w:rFonts w:hint="eastAsia" w:hAnsi="宋体"/>
        </w:rPr>
        <w:t>会场照明灯应控制在灯光面板的开会模式350lx—500lx，光线柔和不刺眼，照度适宜。场外公共区域照度150lx—350lx。会议结束时灯光应调至面板的卫生模式150lx—200lx。</w:t>
      </w:r>
    </w:p>
    <w:p>
      <w:pPr>
        <w:pStyle w:val="165"/>
        <w:rPr>
          <w:rFonts w:hAnsi="宋体"/>
        </w:rPr>
      </w:pPr>
      <w:r>
        <w:rPr>
          <w:rFonts w:hint="eastAsia" w:hAnsi="宋体"/>
        </w:rPr>
        <w:t>夏季空调温度设置不低于26℃；冬季空调温度设置不高于25℃。</w:t>
      </w:r>
    </w:p>
    <w:p>
      <w:pPr>
        <w:pStyle w:val="165"/>
        <w:spacing w:before="156" w:beforeLines="50" w:after="156" w:afterLines="50"/>
        <w:rPr>
          <w:rFonts w:ascii="黑体" w:hAnsi="黑体" w:eastAsia="黑体"/>
        </w:rPr>
      </w:pPr>
      <w:r>
        <w:rPr>
          <w:rFonts w:hint="eastAsia" w:ascii="黑体" w:hAnsi="黑体" w:eastAsia="黑体"/>
        </w:rPr>
        <w:t>茶水服务</w:t>
      </w:r>
    </w:p>
    <w:p>
      <w:pPr>
        <w:pStyle w:val="164"/>
        <w:spacing w:before="156" w:beforeLines="50" w:after="156" w:afterLines="50"/>
        <w:rPr>
          <w:rFonts w:ascii="黑体" w:hAnsi="黑体" w:eastAsia="黑体"/>
        </w:rPr>
      </w:pPr>
      <w:r>
        <w:rPr>
          <w:rFonts w:hint="eastAsia" w:ascii="黑体" w:hAnsi="黑体" w:eastAsia="黑体"/>
        </w:rPr>
        <w:t>茶叶检查</w:t>
      </w:r>
    </w:p>
    <w:p>
      <w:pPr>
        <w:pStyle w:val="164"/>
        <w:numPr>
          <w:ilvl w:val="0"/>
          <w:numId w:val="0"/>
        </w:numPr>
        <w:spacing w:before="156" w:beforeLines="50" w:after="156" w:afterLines="50"/>
      </w:pPr>
      <w:r>
        <w:rPr>
          <w:rFonts w:hint="eastAsia"/>
        </w:rPr>
        <w:t xml:space="preserve"> </w:t>
      </w:r>
      <w:r>
        <w:t xml:space="preserve">   </w:t>
      </w:r>
      <w:r>
        <w:rPr>
          <w:rFonts w:hint="eastAsia"/>
        </w:rPr>
        <w:t>检查茶叶质量，无潮湿、无霉变、无异味。</w:t>
      </w:r>
    </w:p>
    <w:p>
      <w:pPr>
        <w:pStyle w:val="164"/>
        <w:spacing w:before="156" w:beforeLines="50" w:after="156" w:afterLines="50"/>
        <w:rPr>
          <w:rFonts w:ascii="黑体" w:hAnsi="黑体" w:eastAsia="黑体"/>
        </w:rPr>
      </w:pPr>
      <w:r>
        <w:rPr>
          <w:rFonts w:hint="eastAsia" w:ascii="黑体" w:hAnsi="黑体" w:eastAsia="黑体"/>
        </w:rPr>
        <w:t>斟茶、续茶</w:t>
      </w:r>
    </w:p>
    <w:p>
      <w:pPr>
        <w:pStyle w:val="164"/>
        <w:numPr>
          <w:ilvl w:val="0"/>
          <w:numId w:val="0"/>
        </w:numPr>
        <w:spacing w:before="156" w:beforeLines="50" w:after="156" w:afterLines="50"/>
      </w:pPr>
      <w:r>
        <w:rPr>
          <w:rFonts w:hint="eastAsia"/>
        </w:rPr>
        <w:t xml:space="preserve"> </w:t>
      </w:r>
      <w:r>
        <w:t xml:space="preserve">   </w:t>
      </w:r>
      <w:r>
        <w:rPr>
          <w:rFonts w:hint="eastAsia"/>
        </w:rPr>
        <w:t>续茶水时视情况分为前侧续水和后侧续水，续茶水时，用小指和无名指夹起杯盖，用大拇指、食指、中指握住杯把，将茶杯端起。瓶口不应正对参会人员，侧身略弯腰将水倒入杯中。沏茶续水以7~8分满为宜。续水后盖上杯盖，并流出一条缝隙，将杯把转向参会人员右侧放好。续茶水时，应轻拿轻放，不应使茶具发出响声、茶水不应溅出水杯。续茶水要领见图</w:t>
      </w:r>
      <w:r>
        <w:t>1</w:t>
      </w:r>
      <w:r>
        <w:rPr>
          <w:rFonts w:hint="eastAsia"/>
        </w:rPr>
        <w:t>。</w:t>
      </w:r>
    </w:p>
    <w:p>
      <w:pPr>
        <w:pStyle w:val="164"/>
        <w:numPr>
          <w:ilvl w:val="0"/>
          <w:numId w:val="0"/>
        </w:numPr>
        <w:spacing w:before="156" w:beforeLines="50" w:after="156" w:afterLines="50"/>
      </w:pPr>
      <w:r>
        <w:rPr>
          <w:rFonts w:hint="eastAsia" w:ascii="黑体" w:hAnsi="黑体" w:eastAsia="黑体"/>
        </w:rPr>
        <w:drawing>
          <wp:inline distT="0" distB="0" distL="114300" distR="114300">
            <wp:extent cx="5414010" cy="3578860"/>
            <wp:effectExtent l="0" t="0" r="15240" b="2540"/>
            <wp:docPr id="2" name="图片 2" descr="e48ac2a684dc6912de6a4a80c17fe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48ac2a684dc6912de6a4a80c17fe52"/>
                    <pic:cNvPicPr>
                      <a:picLocks noChangeAspect="1"/>
                    </pic:cNvPicPr>
                  </pic:nvPicPr>
                  <pic:blipFill>
                    <a:blip r:embed="rId14"/>
                    <a:stretch>
                      <a:fillRect/>
                    </a:stretch>
                  </pic:blipFill>
                  <pic:spPr>
                    <a:xfrm>
                      <a:off x="0" y="0"/>
                      <a:ext cx="5414010" cy="3578860"/>
                    </a:xfrm>
                    <a:prstGeom prst="rect">
                      <a:avLst/>
                    </a:prstGeom>
                  </pic:spPr>
                </pic:pic>
              </a:graphicData>
            </a:graphic>
          </wp:inline>
        </w:drawing>
      </w:r>
    </w:p>
    <w:p>
      <w:pPr>
        <w:pStyle w:val="165"/>
        <w:numPr>
          <w:ilvl w:val="3"/>
          <w:numId w:val="0"/>
        </w:numPr>
        <w:spacing w:before="156" w:beforeLines="50" w:after="156" w:afterLines="50"/>
        <w:jc w:val="center"/>
        <w:rPr>
          <w:rFonts w:ascii="黑体" w:hAnsi="黑体" w:eastAsia="黑体"/>
        </w:rPr>
      </w:pPr>
      <w:r>
        <w:rPr>
          <w:rFonts w:hint="eastAsia" w:ascii="黑体" w:hAnsi="黑体" w:eastAsia="黑体"/>
        </w:rPr>
        <w:t>图</w:t>
      </w:r>
      <w:r>
        <w:rPr>
          <w:rFonts w:ascii="黑体" w:hAnsi="黑体" w:eastAsia="黑体"/>
        </w:rPr>
        <w:t>1</w:t>
      </w:r>
      <w:r>
        <w:rPr>
          <w:rFonts w:hint="eastAsia" w:ascii="黑体" w:hAnsi="黑体" w:eastAsia="黑体"/>
        </w:rPr>
        <w:t xml:space="preserve"> 续茶水要领示意图</w:t>
      </w:r>
    </w:p>
    <w:p>
      <w:pPr>
        <w:pStyle w:val="164"/>
        <w:spacing w:before="156" w:beforeLines="50" w:after="156" w:afterLines="50"/>
        <w:rPr>
          <w:rFonts w:ascii="黑体" w:hAnsi="黑体" w:eastAsia="黑体"/>
        </w:rPr>
      </w:pPr>
      <w:r>
        <w:rPr>
          <w:rFonts w:hint="eastAsia" w:ascii="黑体" w:hAnsi="黑体" w:eastAsia="黑体"/>
        </w:rPr>
        <w:t>会场上茶</w:t>
      </w:r>
    </w:p>
    <w:p>
      <w:pPr>
        <w:pStyle w:val="164"/>
        <w:numPr>
          <w:ilvl w:val="0"/>
          <w:numId w:val="0"/>
        </w:numPr>
        <w:ind w:firstLine="420" w:firstLineChars="200"/>
      </w:pPr>
      <w:r>
        <w:rPr>
          <w:rFonts w:hint="eastAsia"/>
        </w:rPr>
        <w:t>会议服务人员一手端壶，另一只手五指并拢扶壶身入场，从主位开始依次在与会人员的右后方倒茶。</w:t>
      </w:r>
    </w:p>
    <w:p>
      <w:pPr>
        <w:pStyle w:val="164"/>
        <w:numPr>
          <w:ilvl w:val="0"/>
          <w:numId w:val="0"/>
        </w:numPr>
      </w:pPr>
      <w:r>
        <w:rPr>
          <w:rFonts w:hint="eastAsia"/>
        </w:rPr>
        <w:t>如是阶梯式会场，会议服务人员从主席台右侧排列，整齐统一，进入会场。主席台第一排上茶:两名服务人员同时步入会场，行至1、2号主要领导的右后方，先后开始倒茶，随后分别给左右两边的领导依次倒茶。主席台第二排起，同时从每排右侧第一位领导依次倒茶。</w:t>
      </w:r>
    </w:p>
    <w:p>
      <w:pPr>
        <w:pStyle w:val="162"/>
        <w:spacing w:before="156" w:beforeLines="50" w:after="156" w:afterLines="50"/>
        <w:rPr>
          <w:rFonts w:ascii="黑体" w:hAnsi="黑体" w:eastAsia="黑体"/>
        </w:rPr>
      </w:pPr>
      <w:r>
        <w:rPr>
          <w:rFonts w:hint="eastAsia" w:ascii="黑体" w:hAnsi="黑体" w:eastAsia="黑体"/>
        </w:rPr>
        <w:t>会后服务</w:t>
      </w:r>
    </w:p>
    <w:p>
      <w:pPr>
        <w:pStyle w:val="165"/>
      </w:pPr>
      <w:bookmarkStart w:id="90" w:name="_Toc162338628"/>
      <w:r>
        <w:rPr>
          <w:rFonts w:hint="eastAsia"/>
        </w:rPr>
        <w:t>会议结束时，要及时打开大门，服务人员站在门口有序引导参会人员离开会场，并提醒参会人员带好随身物品，检查内容包括但不限于：</w:t>
      </w:r>
    </w:p>
    <w:p>
      <w:pPr>
        <w:pStyle w:val="165"/>
        <w:numPr>
          <w:ilvl w:val="0"/>
          <w:numId w:val="0"/>
        </w:numPr>
        <w:ind w:firstLine="420" w:firstLineChars="200"/>
      </w:pPr>
      <w:r>
        <w:rPr>
          <w:rFonts w:hint="eastAsia"/>
        </w:rPr>
        <w:t>——有无参会人员遗留的物品及会议资料等，如有遗失，应立即送还，未能及时送还的，应做好登记表模版参照附录E并妥善保管，积极联系办会单位；</w:t>
      </w:r>
    </w:p>
    <w:p>
      <w:pPr>
        <w:pStyle w:val="104"/>
        <w:numPr>
          <w:ilvl w:val="0"/>
          <w:numId w:val="0"/>
        </w:numPr>
        <w:spacing w:before="0" w:beforeLines="0" w:after="0" w:afterLines="0"/>
        <w:ind w:firstLine="420" w:firstLineChars="200"/>
        <w:rPr>
          <w:rFonts w:ascii="宋体" w:eastAsia="宋体"/>
        </w:rPr>
      </w:pPr>
      <w:bookmarkStart w:id="91" w:name="_Toc167185057"/>
      <w:bookmarkStart w:id="92" w:name="_Toc167185146"/>
      <w:r>
        <w:rPr>
          <w:rFonts w:hint="eastAsia" w:ascii="宋体" w:eastAsia="宋体"/>
        </w:rPr>
        <w:t>——有无损坏的设施设备及物品，如有损坏的，应记录设施设备及物品的名称、数目及损坏情况，并报会务负责人。</w:t>
      </w:r>
      <w:bookmarkEnd w:id="91"/>
      <w:bookmarkEnd w:id="92"/>
    </w:p>
    <w:p>
      <w:pPr>
        <w:pStyle w:val="165"/>
      </w:pPr>
      <w:r>
        <w:rPr>
          <w:rFonts w:hint="eastAsia"/>
        </w:rPr>
        <w:t>会议结束后应及时整理会场。整理内容包括但不限于：</w:t>
      </w:r>
    </w:p>
    <w:p>
      <w:pPr>
        <w:pStyle w:val="104"/>
        <w:numPr>
          <w:ilvl w:val="0"/>
          <w:numId w:val="0"/>
        </w:numPr>
        <w:spacing w:before="0" w:beforeLines="0" w:after="0" w:afterLines="0"/>
        <w:ind w:firstLine="420" w:firstLineChars="200"/>
        <w:rPr>
          <w:rFonts w:ascii="宋体" w:eastAsia="宋体"/>
        </w:rPr>
      </w:pPr>
      <w:bookmarkStart w:id="93" w:name="_Toc167185147"/>
      <w:bookmarkStart w:id="94" w:name="_Toc167185058"/>
      <w:r>
        <w:rPr>
          <w:rFonts w:hint="eastAsia" w:ascii="宋体" w:eastAsia="宋体"/>
        </w:rPr>
        <w:t>——回收茶具、纸巾碟、笔盒等可重复使用的物品，清点数量；</w:t>
      </w:r>
      <w:bookmarkEnd w:id="93"/>
      <w:bookmarkEnd w:id="94"/>
    </w:p>
    <w:p>
      <w:pPr>
        <w:pStyle w:val="104"/>
        <w:numPr>
          <w:ilvl w:val="0"/>
          <w:numId w:val="0"/>
        </w:numPr>
        <w:spacing w:before="0" w:beforeLines="0" w:after="0" w:afterLines="0"/>
        <w:ind w:firstLine="420" w:firstLineChars="200"/>
        <w:rPr>
          <w:rFonts w:ascii="宋体" w:eastAsia="宋体"/>
        </w:rPr>
      </w:pPr>
      <w:bookmarkStart w:id="95" w:name="_Toc167185059"/>
      <w:bookmarkStart w:id="96" w:name="_Toc167185148"/>
      <w:r>
        <w:rPr>
          <w:rFonts w:hint="eastAsia" w:ascii="宋体" w:eastAsia="宋体"/>
        </w:rPr>
        <w:t>——收拾桌面，清扫会场，归位桌椅，撤除会标；</w:t>
      </w:r>
      <w:bookmarkEnd w:id="95"/>
      <w:bookmarkEnd w:id="96"/>
    </w:p>
    <w:p>
      <w:pPr>
        <w:pStyle w:val="104"/>
        <w:numPr>
          <w:ilvl w:val="0"/>
          <w:numId w:val="0"/>
        </w:numPr>
        <w:spacing w:before="0" w:beforeLines="0" w:after="0" w:afterLines="0"/>
        <w:ind w:firstLine="420" w:firstLineChars="200"/>
        <w:rPr>
          <w:rFonts w:ascii="宋体" w:eastAsia="宋体"/>
        </w:rPr>
      </w:pPr>
      <w:bookmarkStart w:id="97" w:name="_Toc167185149"/>
      <w:bookmarkStart w:id="98" w:name="_Toc167185060"/>
      <w:r>
        <w:rPr>
          <w:rFonts w:hint="eastAsia" w:ascii="宋体" w:eastAsia="宋体"/>
        </w:rPr>
        <w:t>——关闭设施设备，切断电源，关闭会场。</w:t>
      </w:r>
      <w:bookmarkEnd w:id="97"/>
      <w:bookmarkEnd w:id="98"/>
    </w:p>
    <w:p>
      <w:pPr>
        <w:pStyle w:val="165"/>
      </w:pPr>
      <w:r>
        <w:rPr>
          <w:rFonts w:hint="eastAsia"/>
        </w:rPr>
        <w:t>会务用品按以下要求进行管理并填写：</w:t>
      </w:r>
    </w:p>
    <w:p>
      <w:pPr>
        <w:pStyle w:val="104"/>
        <w:numPr>
          <w:ilvl w:val="0"/>
          <w:numId w:val="0"/>
        </w:numPr>
        <w:spacing w:before="0" w:beforeLines="0" w:after="0" w:afterLines="0"/>
        <w:ind w:firstLine="420" w:firstLineChars="200"/>
        <w:rPr>
          <w:rFonts w:ascii="宋体" w:eastAsia="宋体"/>
        </w:rPr>
      </w:pPr>
      <w:bookmarkStart w:id="99" w:name="_Toc167185150"/>
      <w:bookmarkStart w:id="100" w:name="_Toc167185061"/>
      <w:r>
        <w:rPr>
          <w:rFonts w:hint="eastAsia" w:ascii="宋体" w:eastAsia="宋体"/>
        </w:rPr>
        <w:t>——仔细清洗茶杯，完毕后，用消毒干毛巾擦拭干净，放入消毒柜，进行消毒处理，消毒标准按GB 14934的规定执行，（附录F《会议服务记录表》）；</w:t>
      </w:r>
      <w:bookmarkEnd w:id="99"/>
      <w:bookmarkEnd w:id="100"/>
    </w:p>
    <w:p>
      <w:pPr>
        <w:pStyle w:val="104"/>
        <w:numPr>
          <w:ilvl w:val="0"/>
          <w:numId w:val="0"/>
        </w:numPr>
        <w:spacing w:before="0" w:beforeLines="0" w:after="0" w:afterLines="0"/>
        <w:ind w:firstLine="420" w:firstLineChars="200"/>
        <w:rPr>
          <w:rFonts w:ascii="宋体" w:eastAsia="宋体"/>
        </w:rPr>
      </w:pPr>
      <w:bookmarkStart w:id="101" w:name="_Toc167185151"/>
      <w:bookmarkStart w:id="102" w:name="_Toc167185062"/>
      <w:r>
        <w:rPr>
          <w:rFonts w:hint="eastAsia" w:ascii="宋体" w:eastAsia="宋体"/>
        </w:rPr>
        <w:t>——根据领用的数量放回仓库，根据不同类别（一次性、 盘类、 壶类）分类集中摆放，定期盘点；</w:t>
      </w:r>
      <w:bookmarkEnd w:id="101"/>
      <w:bookmarkEnd w:id="102"/>
    </w:p>
    <w:p>
      <w:pPr>
        <w:pStyle w:val="104"/>
        <w:numPr>
          <w:ilvl w:val="0"/>
          <w:numId w:val="0"/>
        </w:numPr>
        <w:spacing w:before="0" w:beforeLines="0" w:after="0" w:afterLines="0"/>
        <w:ind w:firstLine="420" w:firstLineChars="200"/>
      </w:pPr>
      <w:bookmarkStart w:id="103" w:name="_Toc167185063"/>
      <w:bookmarkStart w:id="104" w:name="_Toc167185152"/>
      <w:r>
        <w:rPr>
          <w:rFonts w:hint="eastAsia" w:ascii="宋体" w:eastAsia="宋体"/>
        </w:rPr>
        <w:t>——会议结束后将耗损类会务用品，如席卡、纸笔等会议物品进行盘点、登记台账，并根据库存量与使用期限选择性地采购。</w:t>
      </w:r>
      <w:bookmarkEnd w:id="103"/>
      <w:bookmarkEnd w:id="104"/>
    </w:p>
    <w:p>
      <w:pPr>
        <w:pStyle w:val="104"/>
        <w:spacing w:before="312" w:after="312"/>
      </w:pPr>
      <w:bookmarkStart w:id="105" w:name="_Toc167185153"/>
      <w:bookmarkStart w:id="106" w:name="_Toc167185064"/>
      <w:r>
        <w:rPr>
          <w:rFonts w:hint="eastAsia"/>
        </w:rPr>
        <w:t>环境卫生要求</w:t>
      </w:r>
      <w:bookmarkEnd w:id="90"/>
      <w:bookmarkEnd w:id="105"/>
      <w:bookmarkEnd w:id="106"/>
    </w:p>
    <w:p>
      <w:pPr>
        <w:pStyle w:val="162"/>
        <w:numPr>
          <w:ilvl w:val="0"/>
          <w:numId w:val="0"/>
        </w:numPr>
        <w:ind w:firstLine="420" w:firstLineChars="200"/>
        <w:rPr>
          <w:rFonts w:hAnsi="宋体"/>
        </w:rPr>
      </w:pPr>
      <w:r>
        <w:rPr>
          <w:rFonts w:hint="eastAsia" w:hAnsi="宋体"/>
        </w:rPr>
        <w:t>布置会场前应对会场区域进行清洁、消杀。会场清洁卫生和会后检查要求应符合但不限于表1的规定。</w:t>
      </w:r>
    </w:p>
    <w:p>
      <w:pPr>
        <w:pStyle w:val="162"/>
        <w:numPr>
          <w:ilvl w:val="0"/>
          <w:numId w:val="0"/>
        </w:numPr>
        <w:ind w:firstLine="630" w:firstLineChars="300"/>
        <w:jc w:val="center"/>
      </w:pPr>
      <w:r>
        <w:rPr>
          <w:rFonts w:hint="eastAsia"/>
        </w:rPr>
        <w:t>表1 会场清洁卫生要求</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609"/>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Pr>
          <w:p>
            <w:pPr>
              <w:pStyle w:val="162"/>
              <w:numPr>
                <w:ilvl w:val="0"/>
                <w:numId w:val="0"/>
              </w:numPr>
              <w:jc w:val="center"/>
            </w:pPr>
            <w:r>
              <w:rPr>
                <w:rFonts w:hint="eastAsia"/>
              </w:rPr>
              <w:t>序号</w:t>
            </w:r>
          </w:p>
        </w:tc>
        <w:tc>
          <w:tcPr>
            <w:tcW w:w="1609" w:type="dxa"/>
          </w:tcPr>
          <w:p>
            <w:pPr>
              <w:pStyle w:val="162"/>
              <w:numPr>
                <w:ilvl w:val="0"/>
                <w:numId w:val="0"/>
              </w:numPr>
              <w:jc w:val="center"/>
            </w:pPr>
            <w:r>
              <w:rPr>
                <w:rFonts w:hint="eastAsia"/>
              </w:rPr>
              <w:t>项目</w:t>
            </w:r>
          </w:p>
        </w:tc>
        <w:tc>
          <w:tcPr>
            <w:tcW w:w="6830" w:type="dxa"/>
          </w:tcPr>
          <w:p>
            <w:pPr>
              <w:pStyle w:val="162"/>
              <w:numPr>
                <w:ilvl w:val="0"/>
                <w:numId w:val="0"/>
              </w:numPr>
              <w:jc w:val="center"/>
            </w:pP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Pr>
          <w:p>
            <w:pPr>
              <w:pStyle w:val="162"/>
              <w:numPr>
                <w:ilvl w:val="0"/>
                <w:numId w:val="0"/>
              </w:numPr>
            </w:pPr>
            <w:r>
              <w:rPr>
                <w:rFonts w:hint="eastAsia"/>
              </w:rPr>
              <w:t>1</w:t>
            </w:r>
          </w:p>
        </w:tc>
        <w:tc>
          <w:tcPr>
            <w:tcW w:w="1609" w:type="dxa"/>
          </w:tcPr>
          <w:p>
            <w:pPr>
              <w:pStyle w:val="162"/>
              <w:numPr>
                <w:ilvl w:val="0"/>
                <w:numId w:val="0"/>
              </w:numPr>
            </w:pPr>
            <w:r>
              <w:rPr>
                <w:rFonts w:hint="eastAsia"/>
              </w:rPr>
              <w:t>会议室、 候会室</w:t>
            </w:r>
          </w:p>
        </w:tc>
        <w:tc>
          <w:tcPr>
            <w:tcW w:w="6830" w:type="dxa"/>
          </w:tcPr>
          <w:p>
            <w:pPr>
              <w:pStyle w:val="162"/>
              <w:numPr>
                <w:ilvl w:val="0"/>
                <w:numId w:val="0"/>
              </w:numPr>
            </w:pPr>
            <w:r>
              <w:rPr>
                <w:rFonts w:hint="eastAsia"/>
              </w:rPr>
              <w:t>1. 不同材质的地面保持材料的原有色泽， 保持干燥清洁，无纸屑、 无水迹、无雾化现象；砖面及拼缝、 边沿线等处洁净， 无积垢、灰尘、纸屑、 食品残渣、水迹和胶粘物等。</w:t>
            </w:r>
          </w:p>
          <w:p>
            <w:pPr>
              <w:pStyle w:val="162"/>
              <w:numPr>
                <w:ilvl w:val="0"/>
                <w:numId w:val="0"/>
              </w:numPr>
            </w:pPr>
            <w:r>
              <w:rPr>
                <w:rFonts w:hint="eastAsia"/>
              </w:rPr>
              <w:t>2. 内墙面、天花、顶角、转角及墙踢脚等处无积尘、霉斑和蜘蛛网，大理石墙面清洁光亮。</w:t>
            </w:r>
          </w:p>
          <w:p>
            <w:pPr>
              <w:pStyle w:val="162"/>
              <w:numPr>
                <w:ilvl w:val="0"/>
                <w:numId w:val="0"/>
              </w:numPr>
            </w:pPr>
            <w:r>
              <w:rPr>
                <w:rFonts w:hint="eastAsia"/>
              </w:rPr>
              <w:t>3. 门面、门框、门背等保持本色光泽、花纹清晰、无油迹和灰尘，金属门饰、门锁、门附件等保持金属光亮，无锈斑、污迹和水迹。</w:t>
            </w:r>
          </w:p>
          <w:p>
            <w:pPr>
              <w:pStyle w:val="162"/>
              <w:numPr>
                <w:ilvl w:val="0"/>
                <w:numId w:val="0"/>
              </w:numPr>
            </w:pPr>
            <w:r>
              <w:rPr>
                <w:rFonts w:hint="eastAsia"/>
              </w:rPr>
              <w:t>4. 玻璃窗等表面洁净、明亮，无水迹、指印和张贴物等。</w:t>
            </w:r>
          </w:p>
          <w:p>
            <w:pPr>
              <w:pStyle w:val="162"/>
              <w:numPr>
                <w:ilvl w:val="0"/>
                <w:numId w:val="0"/>
              </w:numPr>
            </w:pPr>
            <w:r>
              <w:rPr>
                <w:rFonts w:hint="eastAsia"/>
              </w:rPr>
              <w:t>5. 窗台及上下四周接缝处等光洁，无灰尘、水迹和霉斑。</w:t>
            </w:r>
          </w:p>
          <w:p>
            <w:pPr>
              <w:pStyle w:val="162"/>
              <w:numPr>
                <w:ilvl w:val="0"/>
                <w:numId w:val="0"/>
              </w:numPr>
            </w:pPr>
            <w:r>
              <w:rPr>
                <w:rFonts w:hint="eastAsia"/>
              </w:rPr>
              <w:t>6. 花灯、吊灯应干净，无尘土及塌灰。</w:t>
            </w:r>
          </w:p>
          <w:p>
            <w:pPr>
              <w:pStyle w:val="162"/>
              <w:numPr>
                <w:ilvl w:val="0"/>
                <w:numId w:val="0"/>
              </w:numPr>
            </w:pPr>
            <w:r>
              <w:rPr>
                <w:rFonts w:hint="eastAsia"/>
              </w:rPr>
              <w:t>7. 绿植及套盆应干净无尘，无枯枝败叶和昆虫。</w:t>
            </w:r>
          </w:p>
          <w:p>
            <w:pPr>
              <w:pStyle w:val="162"/>
              <w:numPr>
                <w:ilvl w:val="0"/>
                <w:numId w:val="0"/>
              </w:numPr>
            </w:pPr>
            <w:r>
              <w:rPr>
                <w:rFonts w:hint="eastAsia"/>
              </w:rPr>
              <w:t>8. 茶具无污迹或破损。</w:t>
            </w:r>
          </w:p>
          <w:p>
            <w:pPr>
              <w:pStyle w:val="162"/>
              <w:numPr>
                <w:ilvl w:val="0"/>
                <w:numId w:val="0"/>
              </w:numPr>
            </w:pPr>
            <w:r>
              <w:rPr>
                <w:rFonts w:hint="eastAsia"/>
              </w:rPr>
              <w:t>9. 室内空气流通，清新、无异味。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Pr>
          <w:p>
            <w:pPr>
              <w:pStyle w:val="162"/>
              <w:numPr>
                <w:ilvl w:val="0"/>
                <w:numId w:val="0"/>
              </w:numPr>
            </w:pPr>
            <w:r>
              <w:rPr>
                <w:rFonts w:hint="eastAsia"/>
              </w:rPr>
              <w:t>2</w:t>
            </w:r>
          </w:p>
        </w:tc>
        <w:tc>
          <w:tcPr>
            <w:tcW w:w="1609" w:type="dxa"/>
          </w:tcPr>
          <w:p>
            <w:pPr>
              <w:pStyle w:val="162"/>
              <w:numPr>
                <w:ilvl w:val="0"/>
                <w:numId w:val="0"/>
              </w:numPr>
            </w:pPr>
            <w:r>
              <w:rPr>
                <w:rFonts w:hint="eastAsia"/>
              </w:rPr>
              <w:t>休息区</w:t>
            </w:r>
          </w:p>
        </w:tc>
        <w:tc>
          <w:tcPr>
            <w:tcW w:w="6830" w:type="dxa"/>
          </w:tcPr>
          <w:p>
            <w:pPr>
              <w:pStyle w:val="162"/>
              <w:numPr>
                <w:ilvl w:val="0"/>
                <w:numId w:val="0"/>
              </w:numPr>
            </w:pPr>
            <w:r>
              <w:rPr>
                <w:rFonts w:hint="eastAsia"/>
              </w:rPr>
              <w:t>1. 地面保持整洁，无烟蒂、杂物。</w:t>
            </w:r>
          </w:p>
          <w:p>
            <w:pPr>
              <w:pStyle w:val="162"/>
              <w:numPr>
                <w:ilvl w:val="0"/>
                <w:numId w:val="0"/>
              </w:numPr>
            </w:pPr>
            <w:r>
              <w:rPr>
                <w:rFonts w:hint="eastAsia"/>
              </w:rPr>
              <w:t>2. 座椅保持清洁，无水迹和污迹。</w:t>
            </w:r>
          </w:p>
          <w:p>
            <w:pPr>
              <w:pStyle w:val="162"/>
              <w:numPr>
                <w:ilvl w:val="0"/>
                <w:numId w:val="0"/>
              </w:numPr>
            </w:pPr>
            <w:r>
              <w:rPr>
                <w:rFonts w:hint="eastAsia"/>
              </w:rPr>
              <w:t>3. 烟灰缸表面无积垢，缸内烟蒂及时清理。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Pr>
          <w:p>
            <w:pPr>
              <w:pStyle w:val="162"/>
              <w:numPr>
                <w:ilvl w:val="0"/>
                <w:numId w:val="0"/>
              </w:numPr>
            </w:pPr>
            <w:r>
              <w:rPr>
                <w:rFonts w:hint="eastAsia"/>
              </w:rPr>
              <w:t>3</w:t>
            </w:r>
          </w:p>
        </w:tc>
        <w:tc>
          <w:tcPr>
            <w:tcW w:w="1609" w:type="dxa"/>
          </w:tcPr>
          <w:p>
            <w:pPr>
              <w:pStyle w:val="162"/>
              <w:numPr>
                <w:ilvl w:val="0"/>
                <w:numId w:val="0"/>
              </w:numPr>
            </w:pPr>
            <w:r>
              <w:rPr>
                <w:rFonts w:hint="eastAsia"/>
              </w:rPr>
              <w:t>楼道</w:t>
            </w:r>
          </w:p>
        </w:tc>
        <w:tc>
          <w:tcPr>
            <w:tcW w:w="6830" w:type="dxa"/>
          </w:tcPr>
          <w:p>
            <w:pPr>
              <w:pStyle w:val="162"/>
              <w:numPr>
                <w:ilvl w:val="0"/>
                <w:numId w:val="0"/>
              </w:numPr>
            </w:pPr>
            <w:r>
              <w:rPr>
                <w:rFonts w:hint="eastAsia"/>
              </w:rPr>
              <w:t>1. 楼梯无痰迹、油污、纸屑和废弃垃圾。</w:t>
            </w:r>
          </w:p>
          <w:p>
            <w:pPr>
              <w:pStyle w:val="162"/>
              <w:numPr>
                <w:ilvl w:val="0"/>
                <w:numId w:val="0"/>
              </w:numPr>
            </w:pPr>
            <w:r>
              <w:rPr>
                <w:rFonts w:hint="eastAsia"/>
              </w:rPr>
              <w:t>2. 扶手栏杆洁净，无污迹和灰尘。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Pr>
          <w:p>
            <w:pPr>
              <w:pStyle w:val="162"/>
              <w:numPr>
                <w:ilvl w:val="0"/>
                <w:numId w:val="0"/>
              </w:numPr>
            </w:pPr>
            <w:r>
              <w:rPr>
                <w:rFonts w:hint="eastAsia"/>
              </w:rPr>
              <w:t>4</w:t>
            </w:r>
          </w:p>
        </w:tc>
        <w:tc>
          <w:tcPr>
            <w:tcW w:w="1609" w:type="dxa"/>
          </w:tcPr>
          <w:p>
            <w:pPr>
              <w:pStyle w:val="162"/>
              <w:numPr>
                <w:ilvl w:val="0"/>
                <w:numId w:val="0"/>
              </w:numPr>
            </w:pPr>
            <w:r>
              <w:rPr>
                <w:rFonts w:hint="eastAsia"/>
              </w:rPr>
              <w:t>电梯</w:t>
            </w:r>
          </w:p>
        </w:tc>
        <w:tc>
          <w:tcPr>
            <w:tcW w:w="6830" w:type="dxa"/>
          </w:tcPr>
          <w:p>
            <w:pPr>
              <w:pStyle w:val="162"/>
              <w:numPr>
                <w:ilvl w:val="0"/>
                <w:numId w:val="0"/>
              </w:numPr>
            </w:pPr>
            <w:r>
              <w:rPr>
                <w:rFonts w:hint="eastAsia"/>
              </w:rPr>
              <w:t>1. 电梯显示面板应光亮，无指印和污迹。</w:t>
            </w:r>
          </w:p>
          <w:p>
            <w:pPr>
              <w:pStyle w:val="162"/>
              <w:numPr>
                <w:ilvl w:val="0"/>
                <w:numId w:val="0"/>
              </w:numPr>
            </w:pPr>
            <w:r>
              <w:rPr>
                <w:rFonts w:hint="eastAsia"/>
              </w:rPr>
              <w:t>2. 电梯轿厢门内壁面保持光亮洁净，无指印、污迹和胶黏物。</w:t>
            </w:r>
          </w:p>
          <w:p>
            <w:pPr>
              <w:pStyle w:val="162"/>
              <w:numPr>
                <w:ilvl w:val="0"/>
                <w:numId w:val="0"/>
              </w:numPr>
            </w:pPr>
            <w:r>
              <w:rPr>
                <w:rFonts w:hint="eastAsia"/>
              </w:rPr>
              <w:t>3. 电梯轿厢内的地垫保持干净，摆放整齐。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Pr>
          <w:p>
            <w:pPr>
              <w:pStyle w:val="162"/>
              <w:numPr>
                <w:ilvl w:val="0"/>
                <w:numId w:val="0"/>
              </w:numPr>
            </w:pPr>
            <w:r>
              <w:rPr>
                <w:rFonts w:hint="eastAsia"/>
              </w:rPr>
              <w:t>5</w:t>
            </w:r>
          </w:p>
        </w:tc>
        <w:tc>
          <w:tcPr>
            <w:tcW w:w="1609" w:type="dxa"/>
          </w:tcPr>
          <w:p>
            <w:pPr>
              <w:pStyle w:val="162"/>
              <w:numPr>
                <w:ilvl w:val="0"/>
                <w:numId w:val="0"/>
              </w:numPr>
            </w:pPr>
            <w:r>
              <w:rPr>
                <w:rFonts w:hint="eastAsia"/>
              </w:rPr>
              <w:t>洗手间</w:t>
            </w:r>
          </w:p>
        </w:tc>
        <w:tc>
          <w:tcPr>
            <w:tcW w:w="6830" w:type="dxa"/>
          </w:tcPr>
          <w:p>
            <w:pPr>
              <w:pStyle w:val="162"/>
              <w:numPr>
                <w:ilvl w:val="0"/>
                <w:numId w:val="0"/>
              </w:numPr>
            </w:pPr>
            <w:r>
              <w:rPr>
                <w:rFonts w:hint="eastAsia"/>
              </w:rPr>
              <w:t>1. 地面无污秽物、水迹和脚印。</w:t>
            </w:r>
          </w:p>
          <w:p>
            <w:pPr>
              <w:pStyle w:val="162"/>
              <w:numPr>
                <w:ilvl w:val="0"/>
                <w:numId w:val="0"/>
              </w:numPr>
            </w:pPr>
            <w:r>
              <w:rPr>
                <w:rFonts w:hint="eastAsia"/>
              </w:rPr>
              <w:t>2. 镜面明净，无水迹、指印和雾水。</w:t>
            </w:r>
          </w:p>
          <w:p>
            <w:pPr>
              <w:pStyle w:val="162"/>
              <w:numPr>
                <w:ilvl w:val="0"/>
                <w:numId w:val="0"/>
              </w:numPr>
            </w:pPr>
            <w:r>
              <w:rPr>
                <w:rFonts w:hint="eastAsia"/>
              </w:rPr>
              <w:t>3. 台盆和台面有光泽，无积垢、锈迹和毛发。</w:t>
            </w:r>
          </w:p>
          <w:p>
            <w:pPr>
              <w:pStyle w:val="162"/>
              <w:numPr>
                <w:ilvl w:val="0"/>
                <w:numId w:val="0"/>
              </w:numPr>
            </w:pPr>
            <w:r>
              <w:rPr>
                <w:rFonts w:hint="eastAsia"/>
              </w:rPr>
              <w:t>4. 面池水龙头保持光亮，无水迹和污垢。</w:t>
            </w:r>
          </w:p>
          <w:p>
            <w:pPr>
              <w:pStyle w:val="162"/>
              <w:numPr>
                <w:ilvl w:val="0"/>
                <w:numId w:val="0"/>
              </w:numPr>
            </w:pPr>
            <w:r>
              <w:rPr>
                <w:rFonts w:hint="eastAsia"/>
              </w:rPr>
              <w:t>5. 便斗内放置卫生球，无黄斑、锈迹和污垢。</w:t>
            </w:r>
          </w:p>
          <w:p>
            <w:pPr>
              <w:pStyle w:val="162"/>
              <w:numPr>
                <w:ilvl w:val="0"/>
                <w:numId w:val="0"/>
              </w:numPr>
            </w:pPr>
            <w:r>
              <w:rPr>
                <w:rFonts w:hint="eastAsia"/>
              </w:rPr>
              <w:t>6. 便池外部无污垢，内部无黄斑。</w:t>
            </w:r>
          </w:p>
          <w:p>
            <w:pPr>
              <w:pStyle w:val="162"/>
              <w:numPr>
                <w:ilvl w:val="0"/>
                <w:numId w:val="0"/>
              </w:numPr>
            </w:pPr>
            <w:r>
              <w:rPr>
                <w:rFonts w:hint="eastAsia"/>
              </w:rPr>
              <w:t>7. 废纸篓无污迹和臭味。</w:t>
            </w:r>
          </w:p>
        </w:tc>
      </w:tr>
    </w:tbl>
    <w:p>
      <w:pPr>
        <w:pStyle w:val="104"/>
        <w:spacing w:before="312" w:after="312"/>
      </w:pPr>
      <w:bookmarkStart w:id="107" w:name="_Toc167185065"/>
      <w:bookmarkStart w:id="108" w:name="_Toc167185154"/>
      <w:bookmarkStart w:id="109" w:name="_Toc162338629"/>
      <w:bookmarkStart w:id="110" w:name="_Toc144832109"/>
      <w:bookmarkStart w:id="111" w:name="_Toc122465434"/>
      <w:bookmarkStart w:id="112" w:name="_Toc122462210"/>
      <w:bookmarkStart w:id="113" w:name="_Toc122462201"/>
      <w:r>
        <w:rPr>
          <w:rFonts w:hint="eastAsia"/>
        </w:rPr>
        <w:t>设施设备管理</w:t>
      </w:r>
      <w:bookmarkEnd w:id="107"/>
      <w:bookmarkEnd w:id="108"/>
      <w:bookmarkEnd w:id="109"/>
      <w:bookmarkEnd w:id="110"/>
    </w:p>
    <w:p>
      <w:pPr>
        <w:pStyle w:val="162"/>
        <w:rPr>
          <w:rFonts w:hAnsi="宋体"/>
        </w:rPr>
      </w:pPr>
      <w:r>
        <w:rPr>
          <w:rFonts w:hint="eastAsia" w:hAnsi="宋体"/>
        </w:rPr>
        <w:t>会场应具备基本的扩声、灯光、电子屏系统，特殊场所应具备视频投票、表决、报到和电视电话会议系统、手机屏蔽系统及手机屏蔽柜。</w:t>
      </w:r>
    </w:p>
    <w:p>
      <w:pPr>
        <w:pStyle w:val="162"/>
        <w:rPr>
          <w:rFonts w:hAnsi="宋体"/>
        </w:rPr>
      </w:pPr>
      <w:r>
        <w:rPr>
          <w:rFonts w:hint="eastAsia" w:hAnsi="宋体"/>
        </w:rPr>
        <w:t>会场应具备完善的视频监控系统、消防设施设备和安防设施设备，相关设备由专业人员负责操作。</w:t>
      </w:r>
    </w:p>
    <w:p>
      <w:pPr>
        <w:pStyle w:val="162"/>
        <w:rPr>
          <w:rFonts w:hAnsi="宋体"/>
        </w:rPr>
      </w:pPr>
      <w:r>
        <w:rPr>
          <w:rFonts w:hint="eastAsia" w:hAnsi="宋体"/>
        </w:rPr>
        <w:t>会场使用的党徽、国徽、红旗尺寸、吊挂高度、间距应符合国家规范要求。党徽、国徽、红旗旗尖采用不反光漆料制作。红旗旗杆倾斜角度控制在67°至70°之间。</w:t>
      </w:r>
    </w:p>
    <w:p>
      <w:pPr>
        <w:pStyle w:val="162"/>
        <w:rPr>
          <w:rFonts w:hAnsi="宋体"/>
        </w:rPr>
      </w:pPr>
      <w:r>
        <w:rPr>
          <w:rFonts w:hint="eastAsia" w:hAnsi="宋体"/>
        </w:rPr>
        <w:t>会场设施设备应符合国家和行业规定的设计标准，设施设备供应商宜具备质量管理体系认证和环境管理体系认证证书。</w:t>
      </w:r>
    </w:p>
    <w:p>
      <w:pPr>
        <w:pStyle w:val="162"/>
        <w:rPr>
          <w:rFonts w:hAnsi="宋体"/>
        </w:rPr>
      </w:pPr>
      <w:r>
        <w:rPr>
          <w:rFonts w:hint="eastAsia" w:hAnsi="宋体"/>
        </w:rPr>
        <w:t>应明确设施设备维保责任，定期检查、维修、保养，保证设施设备安全技术性能符合要求，并做好相应记录，具体内容见表2。</w:t>
      </w:r>
    </w:p>
    <w:p>
      <w:pPr>
        <w:pStyle w:val="162"/>
        <w:numPr>
          <w:ilvl w:val="0"/>
          <w:numId w:val="0"/>
        </w:numPr>
        <w:jc w:val="center"/>
        <w:rPr>
          <w:rFonts w:hAnsi="宋体"/>
        </w:rPr>
      </w:pPr>
      <w:r>
        <w:rPr>
          <w:rFonts w:hint="eastAsia" w:hAnsi="宋体"/>
        </w:rPr>
        <w:t>表2</w:t>
      </w:r>
      <w:r>
        <w:rPr>
          <w:rFonts w:hAnsi="宋体"/>
        </w:rPr>
        <w:t xml:space="preserve"> </w:t>
      </w:r>
      <w:r>
        <w:rPr>
          <w:rFonts w:hint="eastAsia" w:hAnsi="宋体"/>
        </w:rPr>
        <w:t>设施设备维保要求</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985"/>
        <w:gridCol w:w="6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62"/>
              <w:numPr>
                <w:ilvl w:val="0"/>
                <w:numId w:val="0"/>
              </w:numPr>
              <w:jc w:val="center"/>
              <w:rPr>
                <w:rFonts w:hAnsi="宋体"/>
              </w:rPr>
            </w:pPr>
            <w:r>
              <w:rPr>
                <w:rFonts w:hint="eastAsia" w:hAnsi="宋体"/>
              </w:rPr>
              <w:t>序号</w:t>
            </w:r>
          </w:p>
        </w:tc>
        <w:tc>
          <w:tcPr>
            <w:tcW w:w="1985" w:type="dxa"/>
          </w:tcPr>
          <w:p>
            <w:pPr>
              <w:pStyle w:val="162"/>
              <w:numPr>
                <w:ilvl w:val="0"/>
                <w:numId w:val="0"/>
              </w:numPr>
              <w:jc w:val="center"/>
              <w:rPr>
                <w:rFonts w:hAnsi="宋体"/>
              </w:rPr>
            </w:pPr>
            <w:r>
              <w:rPr>
                <w:rFonts w:hint="eastAsia" w:hAnsi="宋体"/>
              </w:rPr>
              <w:t>项目</w:t>
            </w:r>
          </w:p>
        </w:tc>
        <w:tc>
          <w:tcPr>
            <w:tcW w:w="6343" w:type="dxa"/>
          </w:tcPr>
          <w:p>
            <w:pPr>
              <w:pStyle w:val="162"/>
              <w:numPr>
                <w:ilvl w:val="0"/>
                <w:numId w:val="0"/>
              </w:numPr>
              <w:jc w:val="center"/>
              <w:rPr>
                <w:rFonts w:hAnsi="宋体"/>
              </w:rPr>
            </w:pPr>
            <w:r>
              <w:rPr>
                <w:rFonts w:hint="eastAsia" w:hAnsi="宋体"/>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62"/>
              <w:numPr>
                <w:ilvl w:val="0"/>
                <w:numId w:val="0"/>
              </w:numPr>
              <w:jc w:val="center"/>
              <w:rPr>
                <w:rFonts w:hAnsi="宋体"/>
              </w:rPr>
            </w:pPr>
            <w:r>
              <w:rPr>
                <w:rFonts w:hint="eastAsia" w:hAnsi="宋体"/>
              </w:rPr>
              <w:t>1</w:t>
            </w:r>
          </w:p>
        </w:tc>
        <w:tc>
          <w:tcPr>
            <w:tcW w:w="1985" w:type="dxa"/>
          </w:tcPr>
          <w:p>
            <w:pPr>
              <w:pStyle w:val="162"/>
              <w:numPr>
                <w:ilvl w:val="0"/>
                <w:numId w:val="0"/>
              </w:numPr>
              <w:jc w:val="center"/>
              <w:rPr>
                <w:rFonts w:hAnsi="宋体"/>
              </w:rPr>
            </w:pPr>
            <w:r>
              <w:rPr>
                <w:rFonts w:hint="eastAsia" w:hAnsi="宋体"/>
              </w:rPr>
              <w:t>线路</w:t>
            </w:r>
          </w:p>
        </w:tc>
        <w:tc>
          <w:tcPr>
            <w:tcW w:w="6343" w:type="dxa"/>
          </w:tcPr>
          <w:p>
            <w:pPr>
              <w:pStyle w:val="162"/>
              <w:numPr>
                <w:ilvl w:val="0"/>
                <w:numId w:val="0"/>
              </w:numPr>
              <w:rPr>
                <w:rFonts w:hAnsi="宋体"/>
              </w:rPr>
            </w:pPr>
            <w:r>
              <w:rPr>
                <w:rFonts w:hint="eastAsia" w:hAnsi="宋体"/>
              </w:rPr>
              <w:t>1. 做到整齐、安全、美观。</w:t>
            </w:r>
          </w:p>
          <w:p>
            <w:pPr>
              <w:pStyle w:val="162"/>
              <w:numPr>
                <w:ilvl w:val="0"/>
                <w:numId w:val="0"/>
              </w:numPr>
              <w:rPr>
                <w:rFonts w:hAnsi="宋体"/>
              </w:rPr>
            </w:pPr>
            <w:r>
              <w:rPr>
                <w:rFonts w:hint="eastAsia" w:hAnsi="宋体"/>
              </w:rPr>
              <w:t>2. 经过人行通道的，做好安全固定，防止线路缠结、绊脚。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62"/>
              <w:numPr>
                <w:ilvl w:val="0"/>
                <w:numId w:val="0"/>
              </w:numPr>
              <w:jc w:val="center"/>
              <w:rPr>
                <w:rFonts w:hAnsi="宋体"/>
              </w:rPr>
            </w:pPr>
            <w:r>
              <w:rPr>
                <w:rFonts w:hint="eastAsia" w:hAnsi="宋体"/>
              </w:rPr>
              <w:t>2</w:t>
            </w:r>
          </w:p>
        </w:tc>
        <w:tc>
          <w:tcPr>
            <w:tcW w:w="1985" w:type="dxa"/>
          </w:tcPr>
          <w:p>
            <w:pPr>
              <w:pStyle w:val="162"/>
              <w:numPr>
                <w:ilvl w:val="0"/>
                <w:numId w:val="0"/>
              </w:numPr>
              <w:jc w:val="center"/>
              <w:rPr>
                <w:rFonts w:hAnsi="宋体"/>
              </w:rPr>
            </w:pPr>
            <w:r>
              <w:rPr>
                <w:rFonts w:hint="eastAsia" w:hAnsi="宋体"/>
              </w:rPr>
              <w:t>话筒</w:t>
            </w:r>
          </w:p>
        </w:tc>
        <w:tc>
          <w:tcPr>
            <w:tcW w:w="6343" w:type="dxa"/>
          </w:tcPr>
          <w:p>
            <w:pPr>
              <w:pStyle w:val="162"/>
              <w:numPr>
                <w:ilvl w:val="0"/>
                <w:numId w:val="0"/>
              </w:numPr>
              <w:rPr>
                <w:rFonts w:hAnsi="宋体"/>
              </w:rPr>
            </w:pPr>
            <w:r>
              <w:rPr>
                <w:rFonts w:hint="eastAsia" w:hAnsi="宋体"/>
              </w:rPr>
              <w:t>话筒数量满足会议需要，有线话筒摆放高度距离桌面24cm左右、距桌面前沿40cm左右；无线话筒信号接收器充分考虑信号覆盖范围，确保电池电量充足。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62"/>
              <w:numPr>
                <w:ilvl w:val="0"/>
                <w:numId w:val="0"/>
              </w:numPr>
              <w:jc w:val="center"/>
              <w:rPr>
                <w:rFonts w:hAnsi="宋体"/>
              </w:rPr>
            </w:pPr>
            <w:r>
              <w:rPr>
                <w:rFonts w:hint="eastAsia" w:hAnsi="宋体"/>
              </w:rPr>
              <w:t>3</w:t>
            </w:r>
          </w:p>
        </w:tc>
        <w:tc>
          <w:tcPr>
            <w:tcW w:w="1985" w:type="dxa"/>
          </w:tcPr>
          <w:p>
            <w:pPr>
              <w:pStyle w:val="162"/>
              <w:numPr>
                <w:ilvl w:val="0"/>
                <w:numId w:val="0"/>
              </w:numPr>
              <w:jc w:val="center"/>
              <w:rPr>
                <w:rFonts w:hAnsi="宋体"/>
              </w:rPr>
            </w:pPr>
            <w:r>
              <w:rPr>
                <w:rFonts w:hint="eastAsia" w:hAnsi="宋体"/>
              </w:rPr>
              <w:t>音箱</w:t>
            </w:r>
          </w:p>
        </w:tc>
        <w:tc>
          <w:tcPr>
            <w:tcW w:w="6343" w:type="dxa"/>
          </w:tcPr>
          <w:p>
            <w:pPr>
              <w:pStyle w:val="162"/>
              <w:numPr>
                <w:ilvl w:val="0"/>
                <w:numId w:val="0"/>
              </w:numPr>
              <w:rPr>
                <w:rFonts w:hAnsi="宋体"/>
              </w:rPr>
            </w:pPr>
            <w:r>
              <w:rPr>
                <w:rFonts w:hint="eastAsia" w:hAnsi="宋体"/>
              </w:rPr>
              <w:t>会议室前方左右对称摆放音箱，科学合理布局，保证覆盖会议室。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62"/>
              <w:numPr>
                <w:ilvl w:val="0"/>
                <w:numId w:val="0"/>
              </w:numPr>
              <w:jc w:val="center"/>
              <w:rPr>
                <w:rFonts w:hAnsi="宋体"/>
              </w:rPr>
            </w:pPr>
            <w:r>
              <w:rPr>
                <w:rFonts w:hint="eastAsia" w:hAnsi="宋体"/>
              </w:rPr>
              <w:t>4</w:t>
            </w:r>
          </w:p>
        </w:tc>
        <w:tc>
          <w:tcPr>
            <w:tcW w:w="1985" w:type="dxa"/>
          </w:tcPr>
          <w:p>
            <w:pPr>
              <w:pStyle w:val="162"/>
              <w:numPr>
                <w:ilvl w:val="0"/>
                <w:numId w:val="0"/>
              </w:numPr>
              <w:jc w:val="center"/>
              <w:rPr>
                <w:rFonts w:hAnsi="宋体"/>
              </w:rPr>
            </w:pPr>
            <w:r>
              <w:rPr>
                <w:rFonts w:hint="eastAsia" w:hAnsi="宋体"/>
              </w:rPr>
              <w:t>视频设备</w:t>
            </w:r>
          </w:p>
        </w:tc>
        <w:tc>
          <w:tcPr>
            <w:tcW w:w="6343" w:type="dxa"/>
          </w:tcPr>
          <w:p>
            <w:pPr>
              <w:pStyle w:val="162"/>
              <w:numPr>
                <w:ilvl w:val="0"/>
                <w:numId w:val="0"/>
              </w:numPr>
              <w:rPr>
                <w:rFonts w:hAnsi="宋体"/>
              </w:rPr>
            </w:pPr>
            <w:r>
              <w:rPr>
                <w:rFonts w:hint="eastAsia" w:hAnsi="宋体"/>
              </w:rPr>
              <w:t>视频设备布置于所有参会人员可见处， 与电脑正确连接， 画面显示正常。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570" w:type="dxa"/>
            <w:gridSpan w:val="3"/>
          </w:tcPr>
          <w:p>
            <w:pPr>
              <w:pStyle w:val="162"/>
              <w:numPr>
                <w:ilvl w:val="0"/>
                <w:numId w:val="0"/>
              </w:numPr>
              <w:rPr>
                <w:rFonts w:hAnsi="宋体"/>
              </w:rPr>
            </w:pPr>
            <w:r>
              <w:rPr>
                <w:rFonts w:hint="eastAsia" w:hAnsi="宋体"/>
              </w:rPr>
              <w:t>注1：应配有备份的线路及设备。</w:t>
            </w:r>
          </w:p>
          <w:p>
            <w:pPr>
              <w:pStyle w:val="162"/>
              <w:numPr>
                <w:ilvl w:val="0"/>
                <w:numId w:val="0"/>
              </w:numPr>
              <w:rPr>
                <w:rFonts w:hAnsi="宋体"/>
              </w:rPr>
            </w:pPr>
            <w:r>
              <w:rPr>
                <w:rFonts w:hint="eastAsia" w:hAnsi="宋体"/>
              </w:rPr>
              <w:t>注2：举办涉外机关会议时，宜提供同声传译设备。</w:t>
            </w:r>
          </w:p>
        </w:tc>
      </w:tr>
      <w:bookmarkEnd w:id="111"/>
      <w:bookmarkEnd w:id="112"/>
      <w:bookmarkEnd w:id="113"/>
    </w:tbl>
    <w:p>
      <w:pPr>
        <w:pStyle w:val="104"/>
        <w:spacing w:before="312" w:after="312"/>
      </w:pPr>
      <w:bookmarkStart w:id="114" w:name="_Toc144832110"/>
      <w:bookmarkStart w:id="115" w:name="_Toc167185066"/>
      <w:bookmarkStart w:id="116" w:name="_Toc167185155"/>
      <w:bookmarkStart w:id="117" w:name="_Toc162338630"/>
      <w:r>
        <w:rPr>
          <w:rFonts w:hint="eastAsia"/>
        </w:rPr>
        <w:t>应急</w:t>
      </w:r>
      <w:bookmarkEnd w:id="114"/>
      <w:r>
        <w:rPr>
          <w:rFonts w:hint="eastAsia"/>
        </w:rPr>
        <w:t>处置</w:t>
      </w:r>
      <w:bookmarkEnd w:id="115"/>
      <w:bookmarkEnd w:id="116"/>
      <w:bookmarkEnd w:id="117"/>
    </w:p>
    <w:p>
      <w:pPr>
        <w:pStyle w:val="162"/>
        <w:spacing w:before="156" w:beforeLines="50" w:after="156" w:afterLines="50"/>
        <w:rPr>
          <w:rFonts w:ascii="黑体" w:hAnsi="黑体" w:eastAsia="黑体"/>
        </w:rPr>
      </w:pPr>
      <w:r>
        <w:rPr>
          <w:rFonts w:hint="eastAsia" w:ascii="黑体" w:hAnsi="黑体" w:eastAsia="黑体"/>
        </w:rPr>
        <w:t>灭火和紧急疏散</w:t>
      </w:r>
    </w:p>
    <w:p>
      <w:pPr>
        <w:pStyle w:val="165"/>
        <w:rPr>
          <w:rFonts w:hAnsi="宋体"/>
        </w:rPr>
      </w:pPr>
      <w:r>
        <w:rPr>
          <w:rFonts w:hint="eastAsia" w:hAnsi="宋体"/>
        </w:rPr>
        <w:t>当发现发生火情时，用最近的灭火器材进行初起火灾扑救，并向会场负责人和消控中心报告。</w:t>
      </w:r>
    </w:p>
    <w:p>
      <w:pPr>
        <w:pStyle w:val="165"/>
        <w:rPr>
          <w:rFonts w:hAnsi="宋体"/>
        </w:rPr>
      </w:pPr>
      <w:r>
        <w:rPr>
          <w:rFonts w:hint="eastAsia" w:hAnsi="宋体"/>
        </w:rPr>
        <w:t>火势较大时，会场服务人员应立即引导参会人员从安全出口撤离至集中疏散点，并协助安保人员清点人数，做好人员情绪稳定工作。</w:t>
      </w:r>
    </w:p>
    <w:p>
      <w:pPr>
        <w:pStyle w:val="165"/>
        <w:rPr>
          <w:rFonts w:hAnsi="宋体"/>
        </w:rPr>
      </w:pPr>
      <w:r>
        <w:rPr>
          <w:rFonts w:hint="eastAsia" w:hAnsi="宋体"/>
        </w:rPr>
        <w:t>会场负责人检查会场撤离情况,确保人员均已安全撤离。</w:t>
      </w:r>
    </w:p>
    <w:p>
      <w:pPr>
        <w:pStyle w:val="162"/>
        <w:spacing w:before="156" w:beforeLines="50" w:after="156" w:afterLines="50"/>
        <w:rPr>
          <w:rFonts w:ascii="黑体" w:hAnsi="黑体" w:eastAsia="黑体"/>
        </w:rPr>
      </w:pPr>
      <w:r>
        <w:rPr>
          <w:rFonts w:hint="eastAsia" w:ascii="黑体" w:hAnsi="黑体" w:eastAsia="黑体"/>
        </w:rPr>
        <w:t>停电</w:t>
      </w:r>
    </w:p>
    <w:p>
      <w:pPr>
        <w:pStyle w:val="165"/>
        <w:rPr>
          <w:rFonts w:hAnsi="宋体"/>
        </w:rPr>
      </w:pPr>
      <w:r>
        <w:rPr>
          <w:rFonts w:hint="eastAsia" w:hAnsi="宋体"/>
        </w:rPr>
        <w:t>停电时，部门负责人应及时了解停电的原因，并在第一线指挥、检查工作。</w:t>
      </w:r>
    </w:p>
    <w:p>
      <w:pPr>
        <w:pStyle w:val="165"/>
        <w:rPr>
          <w:rFonts w:hAnsi="宋体"/>
        </w:rPr>
      </w:pPr>
      <w:r>
        <w:rPr>
          <w:rFonts w:hint="eastAsia" w:hAnsi="宋体"/>
        </w:rPr>
        <w:t>备电筒两只，摆放在服务室内，如遇长时间停电可作应急使用。</w:t>
      </w:r>
    </w:p>
    <w:p>
      <w:pPr>
        <w:pStyle w:val="165"/>
        <w:rPr>
          <w:rFonts w:hAnsi="宋体"/>
        </w:rPr>
      </w:pPr>
      <w:r>
        <w:rPr>
          <w:rFonts w:hint="eastAsia" w:hAnsi="宋体"/>
        </w:rPr>
        <w:t>现场管理人员及时上报相关部门现场情况。</w:t>
      </w:r>
    </w:p>
    <w:p>
      <w:pPr>
        <w:pStyle w:val="165"/>
        <w:rPr>
          <w:rFonts w:hAnsi="宋体"/>
        </w:rPr>
      </w:pPr>
      <w:r>
        <w:rPr>
          <w:rFonts w:hint="eastAsia" w:hAnsi="宋体"/>
        </w:rPr>
        <w:t>所有员工应各就各位，不可离开工作场所，应向参会人员做好解释工作。</w:t>
      </w:r>
    </w:p>
    <w:p>
      <w:pPr>
        <w:pStyle w:val="165"/>
        <w:rPr>
          <w:rFonts w:hAnsi="宋体"/>
        </w:rPr>
      </w:pPr>
      <w:r>
        <w:rPr>
          <w:rFonts w:hint="eastAsia" w:hAnsi="宋体"/>
        </w:rPr>
        <w:t>现场负责人到有会议的会议室做好解释及道歉工作。</w:t>
      </w:r>
    </w:p>
    <w:p>
      <w:pPr>
        <w:pStyle w:val="165"/>
        <w:rPr>
          <w:rFonts w:hAnsi="宋体"/>
        </w:rPr>
      </w:pPr>
      <w:r>
        <w:rPr>
          <w:rFonts w:hint="eastAsia" w:hAnsi="宋体"/>
        </w:rPr>
        <w:t>停电时间较长，服务员可指引参会人员沿安全通道到会场外。</w:t>
      </w:r>
    </w:p>
    <w:p>
      <w:pPr>
        <w:pStyle w:val="165"/>
        <w:rPr>
          <w:rFonts w:hAnsi="宋体"/>
        </w:rPr>
      </w:pPr>
      <w:r>
        <w:rPr>
          <w:rFonts w:hint="eastAsia" w:hAnsi="宋体"/>
        </w:rPr>
        <w:t>全天工作结束，供电还未恢复，管理人员应再次检查工作岗位，确保关闭所有电源，保障安全。</w:t>
      </w:r>
    </w:p>
    <w:p>
      <w:pPr>
        <w:pStyle w:val="162"/>
        <w:spacing w:before="156" w:beforeLines="50" w:after="156" w:afterLines="50"/>
        <w:rPr>
          <w:rFonts w:ascii="黑体" w:hAnsi="黑体" w:eastAsia="黑体"/>
        </w:rPr>
      </w:pPr>
      <w:r>
        <w:rPr>
          <w:rFonts w:hint="eastAsia" w:ascii="黑体" w:hAnsi="黑体" w:eastAsia="黑体"/>
        </w:rPr>
        <w:t>停水</w:t>
      </w:r>
    </w:p>
    <w:p>
      <w:pPr>
        <w:pStyle w:val="165"/>
        <w:rPr>
          <w:rFonts w:hAnsi="宋体"/>
        </w:rPr>
      </w:pPr>
      <w:r>
        <w:rPr>
          <w:rFonts w:hint="eastAsia" w:hAnsi="宋体"/>
        </w:rPr>
        <w:t>发现停水情况，应立即联系维修中心询问停水原因、停水时间长短、停水区域。</w:t>
      </w:r>
    </w:p>
    <w:p>
      <w:pPr>
        <w:pStyle w:val="165"/>
        <w:rPr>
          <w:rFonts w:hAnsi="宋体"/>
        </w:rPr>
      </w:pPr>
      <w:r>
        <w:rPr>
          <w:rFonts w:hint="eastAsia" w:hAnsi="宋体"/>
        </w:rPr>
        <w:t>根据情况，如果是单位内部因故障局部区域停水，应查明停水原因，及时抢修，在最短时间内消除故障，尽快恢复供水。会议中心应立即召集人员前往没有停水的区域进行备水运水，保障会议正常接待。</w:t>
      </w:r>
    </w:p>
    <w:p>
      <w:pPr>
        <w:pStyle w:val="165"/>
        <w:rPr>
          <w:rFonts w:hAnsi="宋体"/>
        </w:rPr>
      </w:pPr>
      <w:r>
        <w:rPr>
          <w:rFonts w:hint="eastAsia" w:hAnsi="宋体"/>
        </w:rPr>
        <w:t>如果是供水公司紧急停水，应立即电话询问供水公司，问明停水原因、供水时间，并第一时间通知停水期间所有会议的主办单位，讲明停水原因、停水时间、供水时间及会议中心备水情况，使主办单位根据情况提前做好会议准备，配合主办单位完成会议接待。</w:t>
      </w:r>
    </w:p>
    <w:p>
      <w:pPr>
        <w:pStyle w:val="162"/>
        <w:spacing w:before="156" w:beforeLines="50" w:after="156" w:afterLines="50"/>
        <w:rPr>
          <w:rFonts w:ascii="黑体" w:hAnsi="黑体" w:eastAsia="黑体"/>
        </w:rPr>
      </w:pPr>
      <w:r>
        <w:rPr>
          <w:rFonts w:hint="eastAsia" w:ascii="黑体" w:hAnsi="黑体" w:eastAsia="黑体"/>
        </w:rPr>
        <w:t>音视频设施设备故障</w:t>
      </w:r>
    </w:p>
    <w:p>
      <w:pPr>
        <w:pStyle w:val="165"/>
        <w:rPr>
          <w:rFonts w:hAnsi="宋体"/>
        </w:rPr>
      </w:pPr>
      <w:r>
        <w:rPr>
          <w:rFonts w:hint="eastAsia" w:hAnsi="宋体"/>
        </w:rPr>
        <w:t>会议室门头、电子屏、LED发现故障，应第一时间联系相关单位，请他们安排人员检查并检修，同时和会议主办单位作好解释工作，及时向主办单位报告检查结果。</w:t>
      </w:r>
    </w:p>
    <w:p>
      <w:pPr>
        <w:pStyle w:val="165"/>
        <w:rPr>
          <w:rFonts w:hAnsi="宋体"/>
        </w:rPr>
      </w:pPr>
      <w:r>
        <w:rPr>
          <w:rFonts w:hint="eastAsia" w:hAnsi="宋体"/>
        </w:rPr>
        <w:t>会议期间发现有话筒、音响等设备发出噪音或者静音的情况，应第一时间告诉相关单位现场工作人员，立即启用备用设备，排查故障，及时抢修，保证会议正常进行。</w:t>
      </w:r>
    </w:p>
    <w:p>
      <w:pPr>
        <w:pStyle w:val="165"/>
        <w:rPr>
          <w:rFonts w:hAnsi="宋体"/>
        </w:rPr>
      </w:pPr>
      <w:r>
        <w:rPr>
          <w:rFonts w:hint="eastAsia" w:hAnsi="宋体"/>
        </w:rPr>
        <w:t>会议期间发现会议室外有噪音的情况，应立即拨打报修电话，联系相关人员进行检查，发现噪音源应立即制止，告知噪音已经影响会议，马上消除噪音。</w:t>
      </w:r>
    </w:p>
    <w:p>
      <w:pPr>
        <w:pStyle w:val="165"/>
        <w:rPr>
          <w:rFonts w:hAnsi="宋体"/>
        </w:rPr>
      </w:pPr>
      <w:r>
        <w:rPr>
          <w:rFonts w:hint="eastAsia" w:hAnsi="宋体"/>
        </w:rPr>
        <w:t>当问题比较紧急时可先报修再向上级主管汇报，正常情况是先汇报上级主管再进行处理。</w:t>
      </w:r>
    </w:p>
    <w:p>
      <w:pPr>
        <w:pStyle w:val="162"/>
        <w:spacing w:before="156" w:beforeLines="50" w:after="156" w:afterLines="50"/>
        <w:rPr>
          <w:rFonts w:ascii="黑体" w:hAnsi="黑体" w:eastAsia="黑体"/>
        </w:rPr>
      </w:pPr>
      <w:r>
        <w:rPr>
          <w:rFonts w:ascii="黑体" w:hAnsi="黑体" w:eastAsia="黑体"/>
        </w:rPr>
        <w:t>会</w:t>
      </w:r>
      <w:r>
        <w:rPr>
          <w:rFonts w:hint="eastAsia" w:ascii="黑体" w:hAnsi="黑体" w:eastAsia="黑体"/>
        </w:rPr>
        <w:t>场突发情况</w:t>
      </w:r>
    </w:p>
    <w:p>
      <w:pPr>
        <w:pStyle w:val="165"/>
        <w:rPr>
          <w:rFonts w:ascii="黑体" w:hAnsi="黑体" w:eastAsia="黑体"/>
        </w:rPr>
      </w:pPr>
      <w:r>
        <w:rPr>
          <w:rFonts w:hint="eastAsia" w:ascii="黑体" w:hAnsi="黑体" w:eastAsia="黑体"/>
          <w:bCs/>
        </w:rPr>
        <w:t>水杯倾洒</w:t>
      </w:r>
    </w:p>
    <w:p>
      <w:pPr>
        <w:pStyle w:val="165"/>
        <w:numPr>
          <w:ilvl w:val="0"/>
          <w:numId w:val="0"/>
        </w:numPr>
        <w:spacing w:before="156" w:beforeLines="50" w:after="156" w:afterLines="50"/>
        <w:ind w:firstLine="420" w:firstLineChars="200"/>
        <w:rPr>
          <w:rFonts w:hAnsi="宋体"/>
        </w:rPr>
      </w:pPr>
      <w:r>
        <w:rPr>
          <w:rFonts w:hint="eastAsia" w:hAnsi="宋体"/>
        </w:rPr>
        <w:t>会议期间发现洒水情况，应立即启用备用物品，第一时间去清理现场。询问参会人员是否有烫伤情况，如有轻微烫伤，用烫伤膏涂抹。询问参会人员是否有烫伤情况，如有轻微烫伤，用烫伤膏涂抹。将纸巾、毛巾给参会人员擦拭衣服。将打翻的杯具、茶叶及时清理干净。用抹布将桌子、椅子、地毯擦拭干净。把新的茶具摆放到位，泡好水。将撤下来的物品送至服务间进行清洁整理。</w:t>
      </w:r>
    </w:p>
    <w:p>
      <w:pPr>
        <w:pStyle w:val="165"/>
        <w:spacing w:before="156" w:beforeLines="50" w:after="156" w:afterLines="50"/>
        <w:rPr>
          <w:rFonts w:hAnsi="宋体"/>
        </w:rPr>
      </w:pPr>
      <w:r>
        <w:rPr>
          <w:rFonts w:ascii="黑体" w:hAnsi="黑体" w:eastAsia="黑体"/>
        </w:rPr>
        <w:t>参会人</w:t>
      </w:r>
      <w:r>
        <w:rPr>
          <w:rFonts w:hint="eastAsia" w:ascii="黑体" w:hAnsi="黑体" w:eastAsia="黑体"/>
        </w:rPr>
        <w:t>数</w:t>
      </w:r>
      <w:r>
        <w:rPr>
          <w:rFonts w:ascii="黑体" w:hAnsi="黑体" w:eastAsia="黑体"/>
        </w:rPr>
        <w:t>临时</w:t>
      </w:r>
      <w:r>
        <w:rPr>
          <w:rFonts w:hint="eastAsia" w:ascii="黑体" w:hAnsi="黑体" w:eastAsia="黑体"/>
        </w:rPr>
        <w:t>变动</w:t>
      </w:r>
    </w:p>
    <w:p>
      <w:pPr>
        <w:pStyle w:val="165"/>
        <w:numPr>
          <w:ilvl w:val="0"/>
          <w:numId w:val="0"/>
        </w:numPr>
        <w:spacing w:before="156" w:beforeLines="50" w:after="156" w:afterLines="50"/>
        <w:ind w:firstLine="420" w:firstLineChars="200"/>
        <w:rPr>
          <w:rFonts w:hAnsi="宋体"/>
        </w:rPr>
      </w:pPr>
      <w:r>
        <w:rPr>
          <w:rFonts w:hint="eastAsia" w:hAnsi="宋体"/>
        </w:rPr>
        <w:t>主办单位会前布置会场时通知会议服务主管人员临时变动参会人数的情况，根据增减人数，原定会议室能够满足要求的情况下，进行桌椅、茶具等物品的调整与补充。主办单位会前布置会场时通知服务员临时增加参会人数的情况，根据增加人数，原定会议室不能够满足的情况下，要立即告诉主办单位因会议室太小不能满足加桌椅的要求，并推荐合适的会议室，征求主办方意见，做好调整会议室的准备。出现会议开始前，会议室内座位已经坐满，还有参会人员进入会议室的情况，应立即向主管请求支援，增加桌椅请参会人员入座，并送上茶水，保证会议正常进行。</w:t>
      </w:r>
    </w:p>
    <w:p>
      <w:pPr>
        <w:pStyle w:val="165"/>
        <w:rPr>
          <w:rFonts w:ascii="黑体" w:hAnsi="黑体" w:eastAsia="黑体"/>
        </w:rPr>
      </w:pPr>
      <w:r>
        <w:rPr>
          <w:rFonts w:hint="eastAsia" w:ascii="黑体" w:hAnsi="黑体" w:eastAsia="黑体"/>
          <w:bCs/>
        </w:rPr>
        <w:t>紧急会议</w:t>
      </w:r>
    </w:p>
    <w:p>
      <w:pPr>
        <w:pStyle w:val="165"/>
        <w:numPr>
          <w:ilvl w:val="0"/>
          <w:numId w:val="0"/>
        </w:numPr>
        <w:spacing w:before="156" w:beforeLines="50" w:after="156" w:afterLines="50"/>
        <w:ind w:firstLine="420" w:firstLineChars="200"/>
        <w:rPr>
          <w:rFonts w:hAnsi="宋体"/>
        </w:rPr>
      </w:pPr>
      <w:r>
        <w:rPr>
          <w:rFonts w:hint="eastAsia" w:hAnsi="宋体"/>
        </w:rPr>
        <w:t>班组成立以主管为首的应急接待小组，主管为应急接待小组组长；领班为副组长1名；员工组员3名。下班后临时接到加会通知，根据会议时间、地点、人数，安排应急小组人员第一时间(30min内)赶往单位负责会议接待。特别紧急的情况下可提前把门禁打开,让主办单位的人先进入会议室开灯布置会场，应急接待人员到达会场后进行茶水服务。</w:t>
      </w:r>
    </w:p>
    <w:p>
      <w:pPr>
        <w:pStyle w:val="165"/>
        <w:spacing w:before="156" w:beforeLines="50" w:after="156" w:afterLines="50"/>
        <w:rPr>
          <w:rFonts w:ascii="黑体" w:hAnsi="黑体" w:eastAsia="黑体"/>
          <w:bCs/>
        </w:rPr>
      </w:pPr>
      <w:r>
        <w:rPr>
          <w:rFonts w:hint="eastAsia" w:ascii="黑体" w:hAnsi="黑体" w:eastAsia="黑体"/>
          <w:bCs/>
        </w:rPr>
        <w:t>临时变更会议场所</w:t>
      </w:r>
    </w:p>
    <w:p>
      <w:pPr>
        <w:pStyle w:val="165"/>
        <w:numPr>
          <w:ilvl w:val="0"/>
          <w:numId w:val="0"/>
        </w:numPr>
        <w:spacing w:before="156" w:beforeLines="50" w:after="156" w:afterLines="50"/>
        <w:ind w:firstLine="420" w:firstLineChars="200"/>
        <w:rPr>
          <w:rFonts w:hAnsi="宋体"/>
          <w:b/>
          <w:bCs/>
        </w:rPr>
      </w:pPr>
      <w:r>
        <w:rPr>
          <w:rFonts w:hint="eastAsia" w:hAnsi="宋体"/>
        </w:rPr>
        <w:t>了解参会人员更换会议室的原因，并上报当班主管。与预订处联系，说明情况，了解会议室能否更换。如果可以更换及时做好会议室的更换布置工作。如果不可以更换要及时向参会人员说明原因，尽量让参会人员理解并接受。</w:t>
      </w:r>
    </w:p>
    <w:p>
      <w:pPr>
        <w:pStyle w:val="162"/>
        <w:spacing w:before="156" w:beforeLines="50" w:after="156" w:afterLines="50"/>
        <w:rPr>
          <w:rFonts w:ascii="黑体" w:hAnsi="黑体" w:eastAsia="黑体"/>
        </w:rPr>
      </w:pPr>
      <w:r>
        <w:rPr>
          <w:rFonts w:hint="eastAsia" w:ascii="黑体" w:hAnsi="黑体" w:eastAsia="黑体"/>
        </w:rPr>
        <w:t>现场投诉</w:t>
      </w:r>
    </w:p>
    <w:p>
      <w:pPr>
        <w:pStyle w:val="165"/>
        <w:rPr>
          <w:rFonts w:hAnsi="宋体"/>
        </w:rPr>
      </w:pPr>
      <w:r>
        <w:rPr>
          <w:rFonts w:hint="eastAsia" w:hAnsi="宋体"/>
        </w:rPr>
        <w:t>应耐心倾听，让参会人员把话说完，向参会人员致歉，令参会人员情绪平静下来。</w:t>
      </w:r>
    </w:p>
    <w:p>
      <w:pPr>
        <w:pStyle w:val="165"/>
        <w:rPr>
          <w:rFonts w:hAnsi="宋体"/>
        </w:rPr>
      </w:pPr>
      <w:r>
        <w:rPr>
          <w:rFonts w:hint="eastAsia" w:hAnsi="宋体"/>
        </w:rPr>
        <w:t>将投诉意见记下来上报上级领导，如果情况紧急需及时向上汇报。</w:t>
      </w:r>
    </w:p>
    <w:p>
      <w:pPr>
        <w:pStyle w:val="165"/>
        <w:rPr>
          <w:rFonts w:hAnsi="宋体"/>
        </w:rPr>
      </w:pPr>
      <w:r>
        <w:rPr>
          <w:rFonts w:hint="eastAsia" w:hAnsi="宋体"/>
        </w:rPr>
        <w:t>详细了解情况，作出具体分析。如果是设备问题，应采取措施立即维修。</w:t>
      </w:r>
    </w:p>
    <w:p>
      <w:pPr>
        <w:pStyle w:val="165"/>
        <w:rPr>
          <w:rFonts w:hAnsi="宋体"/>
        </w:rPr>
      </w:pPr>
      <w:r>
        <w:rPr>
          <w:rFonts w:hint="eastAsia" w:hAnsi="宋体"/>
        </w:rPr>
        <w:t>如果参会人员尚未离开会议室，应给参会人员一个答复,让参会人员知道我们已经作出处理。如果是自身工作失误，应第一时间向参会人员道歉，必要时由部门负责人向参会人员作出道歉，让参会人员感受到他得到了应有的重视。</w:t>
      </w:r>
    </w:p>
    <w:p>
      <w:pPr>
        <w:pStyle w:val="165"/>
        <w:rPr>
          <w:rFonts w:hAnsi="宋体"/>
        </w:rPr>
      </w:pPr>
      <w:r>
        <w:rPr>
          <w:rFonts w:hint="eastAsia" w:hAnsi="宋体"/>
        </w:rPr>
        <w:t>书面投诉时，应虚心接受对方意见和建议，及时上报当班主管或者负责人，采纳意见并纠正自身不足，并以书面形式回复参会人员取得参会人员谅解。</w:t>
      </w:r>
    </w:p>
    <w:p>
      <w:pPr>
        <w:pStyle w:val="165"/>
        <w:rPr>
          <w:rFonts w:hAnsi="宋体"/>
        </w:rPr>
      </w:pPr>
      <w:r>
        <w:rPr>
          <w:rFonts w:hint="eastAsia" w:hAnsi="宋体"/>
        </w:rPr>
        <w:t>重视参会人员的侧面投诉，必要时向上级领导反映，以便改进服务工作。</w:t>
      </w:r>
    </w:p>
    <w:p>
      <w:pPr>
        <w:pStyle w:val="165"/>
        <w:rPr>
          <w:rFonts w:hAnsi="宋体"/>
        </w:rPr>
      </w:pPr>
      <w:r>
        <w:rPr>
          <w:rFonts w:hint="eastAsia" w:hAnsi="宋体"/>
        </w:rPr>
        <w:t>做好投诉和处理过程的记录,以便分析宾客投诉的原因，防止类似的投诉再次发生。</w:t>
      </w:r>
    </w:p>
    <w:p>
      <w:pPr>
        <w:pStyle w:val="104"/>
        <w:spacing w:before="312" w:after="312"/>
      </w:pPr>
      <w:bookmarkStart w:id="118" w:name="_Toc167185156"/>
      <w:bookmarkStart w:id="119" w:name="_Toc167185067"/>
      <w:bookmarkStart w:id="120" w:name="_Toc162338631"/>
      <w:bookmarkStart w:id="121" w:name="_Toc144832111"/>
      <w:bookmarkStart w:id="122" w:name="_Toc122462211"/>
      <w:bookmarkStart w:id="123" w:name="_Toc122462202"/>
      <w:bookmarkStart w:id="124" w:name="_Toc122465435"/>
      <w:r>
        <w:rPr>
          <w:rFonts w:hint="eastAsia"/>
        </w:rPr>
        <w:t>服务评价与改进</w:t>
      </w:r>
      <w:bookmarkEnd w:id="118"/>
      <w:bookmarkEnd w:id="119"/>
      <w:bookmarkEnd w:id="120"/>
      <w:bookmarkEnd w:id="121"/>
    </w:p>
    <w:p>
      <w:pPr>
        <w:pStyle w:val="162"/>
        <w:spacing w:before="156" w:beforeLines="50" w:after="156" w:afterLines="50"/>
        <w:rPr>
          <w:rFonts w:ascii="黑体" w:hAnsi="黑体" w:eastAsia="黑体"/>
        </w:rPr>
      </w:pPr>
      <w:r>
        <w:rPr>
          <w:rFonts w:hint="eastAsia" w:ascii="黑体" w:hAnsi="黑体" w:eastAsia="黑体"/>
        </w:rPr>
        <w:t>投诉管理</w:t>
      </w:r>
    </w:p>
    <w:p>
      <w:pPr>
        <w:pStyle w:val="165"/>
        <w:rPr>
          <w:rFonts w:hAnsi="宋体"/>
        </w:rPr>
      </w:pPr>
      <w:r>
        <w:rPr>
          <w:rFonts w:hint="eastAsia" w:hAnsi="宋体"/>
        </w:rPr>
        <w:t>应耐心倾听，让参会人员把话说完，向参会人员致歉，令参会人员情绪平静下来。</w:t>
      </w:r>
    </w:p>
    <w:p>
      <w:pPr>
        <w:pStyle w:val="165"/>
        <w:rPr>
          <w:rFonts w:hAnsi="宋体"/>
        </w:rPr>
      </w:pPr>
      <w:r>
        <w:rPr>
          <w:rFonts w:hint="eastAsia" w:hAnsi="宋体"/>
        </w:rPr>
        <w:t>将投诉意见记下来上报上级领导，如果情况紧急需及时向上汇报。</w:t>
      </w:r>
    </w:p>
    <w:p>
      <w:pPr>
        <w:pStyle w:val="165"/>
        <w:rPr>
          <w:rFonts w:hAnsi="宋体"/>
        </w:rPr>
      </w:pPr>
      <w:r>
        <w:rPr>
          <w:rFonts w:hint="eastAsia" w:hAnsi="宋体"/>
        </w:rPr>
        <w:t>详细了解情况，作出具体分析。如果是设备问题，应采取措施立即维修。</w:t>
      </w:r>
    </w:p>
    <w:p>
      <w:pPr>
        <w:pStyle w:val="165"/>
        <w:rPr>
          <w:rFonts w:hAnsi="宋体"/>
        </w:rPr>
      </w:pPr>
      <w:r>
        <w:rPr>
          <w:rFonts w:hint="eastAsia" w:hAnsi="宋体"/>
        </w:rPr>
        <w:t>如果参会人员尚未离开会议室，应该给参会人员一个答复,让参会人员知道我们已经作出处理。如果是我们的工作失误，应第一时间向参会人员道歉，必要时由部门负责人向参会人员作出道歉，让参会人员感受到他得到了应有的重视。</w:t>
      </w:r>
    </w:p>
    <w:p>
      <w:pPr>
        <w:pStyle w:val="165"/>
        <w:rPr>
          <w:rFonts w:hAnsi="宋体"/>
        </w:rPr>
      </w:pPr>
      <w:r>
        <w:rPr>
          <w:rFonts w:hint="eastAsia" w:hAnsi="宋体"/>
        </w:rPr>
        <w:t>书面投诉时，应虚心接受对方意见和建议，及时上报当班主管或者负责人，采纳意见并纠正自身不足，并以书面形式回复参会人员取得参会人员谅解。</w:t>
      </w:r>
    </w:p>
    <w:p>
      <w:pPr>
        <w:pStyle w:val="165"/>
        <w:rPr>
          <w:rFonts w:hAnsi="宋体"/>
        </w:rPr>
      </w:pPr>
      <w:r>
        <w:rPr>
          <w:rFonts w:hint="eastAsia" w:hAnsi="宋体"/>
        </w:rPr>
        <w:t>重视参会人员的侧面投诉，必要时向上级领导反映，以便改进服务工作。</w:t>
      </w:r>
    </w:p>
    <w:p>
      <w:pPr>
        <w:pStyle w:val="165"/>
        <w:rPr>
          <w:rFonts w:hAnsi="宋体"/>
        </w:rPr>
      </w:pPr>
      <w:r>
        <w:rPr>
          <w:rFonts w:hint="eastAsia" w:hAnsi="宋体"/>
        </w:rPr>
        <w:t>做好投诉和处理过程的记录,以便分析宾客投诉的原因，防止类似的投诉再次发生。</w:t>
      </w:r>
    </w:p>
    <w:p>
      <w:pPr>
        <w:pStyle w:val="162"/>
        <w:spacing w:before="156" w:beforeLines="50" w:after="156" w:afterLines="50"/>
        <w:rPr>
          <w:rFonts w:ascii="黑体" w:hAnsi="黑体" w:eastAsia="黑体"/>
        </w:rPr>
      </w:pPr>
      <w:r>
        <w:rPr>
          <w:rFonts w:hint="eastAsia" w:ascii="黑体" w:hAnsi="黑体" w:eastAsia="黑体"/>
        </w:rPr>
        <w:t>服务评价</w:t>
      </w:r>
    </w:p>
    <w:p>
      <w:pPr>
        <w:pStyle w:val="165"/>
        <w:rPr>
          <w:rFonts w:hAnsi="宋体"/>
        </w:rPr>
      </w:pPr>
      <w:r>
        <w:rPr>
          <w:rFonts w:hint="eastAsia" w:hAnsi="宋体"/>
        </w:rPr>
        <w:t>应建立全面有效的服务评价管理制度。</w:t>
      </w:r>
    </w:p>
    <w:p>
      <w:pPr>
        <w:pStyle w:val="165"/>
        <w:spacing w:before="156" w:beforeLines="50" w:after="156" w:afterLines="50"/>
        <w:rPr>
          <w:rFonts w:ascii="黑体" w:hAnsi="黑体" w:eastAsia="黑体"/>
        </w:rPr>
      </w:pPr>
      <w:r>
        <w:rPr>
          <w:rFonts w:hint="eastAsia" w:ascii="黑体" w:hAnsi="黑体" w:eastAsia="黑体"/>
        </w:rPr>
        <w:t>评价指标</w:t>
      </w:r>
    </w:p>
    <w:p>
      <w:pPr>
        <w:pStyle w:val="162"/>
        <w:numPr>
          <w:ilvl w:val="0"/>
          <w:numId w:val="0"/>
        </w:numPr>
        <w:ind w:firstLine="420" w:firstLineChars="200"/>
      </w:pPr>
      <w:r>
        <w:rPr>
          <w:rFonts w:hint="eastAsia"/>
        </w:rPr>
        <w:t>评价指标应包括以下内容：</w:t>
      </w:r>
    </w:p>
    <w:p>
      <w:pPr>
        <w:pStyle w:val="132"/>
      </w:pPr>
      <w:r>
        <w:rPr>
          <w:rFonts w:hint="eastAsia"/>
        </w:rPr>
        <w:t>服务对象满意度；</w:t>
      </w:r>
    </w:p>
    <w:p>
      <w:pPr>
        <w:pStyle w:val="132"/>
      </w:pPr>
      <w:r>
        <w:rPr>
          <w:rFonts w:hint="eastAsia"/>
        </w:rPr>
        <w:t>服务时间准确率；</w:t>
      </w:r>
    </w:p>
    <w:p>
      <w:pPr>
        <w:pStyle w:val="132"/>
      </w:pPr>
      <w:r>
        <w:rPr>
          <w:rFonts w:hint="eastAsia"/>
        </w:rPr>
        <w:t>服务项目完成率；</w:t>
      </w:r>
    </w:p>
    <w:p>
      <w:pPr>
        <w:pStyle w:val="132"/>
      </w:pPr>
      <w:r>
        <w:rPr>
          <w:rFonts w:hint="eastAsia"/>
        </w:rPr>
        <w:t>有效投诉结案率。</w:t>
      </w:r>
    </w:p>
    <w:p>
      <w:pPr>
        <w:pStyle w:val="165"/>
        <w:spacing w:before="156" w:beforeLines="50" w:after="156" w:afterLines="50"/>
        <w:rPr>
          <w:rFonts w:ascii="黑体" w:hAnsi="黑体" w:eastAsia="黑体"/>
        </w:rPr>
      </w:pPr>
      <w:r>
        <w:rPr>
          <w:rFonts w:hint="eastAsia" w:ascii="黑体" w:hAnsi="黑体" w:eastAsia="黑体"/>
        </w:rPr>
        <w:t>评价途径</w:t>
      </w:r>
    </w:p>
    <w:p>
      <w:pPr>
        <w:pStyle w:val="162"/>
        <w:numPr>
          <w:ilvl w:val="0"/>
          <w:numId w:val="0"/>
        </w:numPr>
        <w:ind w:firstLine="420" w:firstLineChars="200"/>
      </w:pPr>
      <w:r>
        <w:rPr>
          <w:rFonts w:hint="eastAsia"/>
        </w:rPr>
        <w:t>评价途径应包括以下内容：</w:t>
      </w:r>
    </w:p>
    <w:p>
      <w:pPr>
        <w:pStyle w:val="132"/>
      </w:pPr>
      <w:r>
        <w:rPr>
          <w:rFonts w:hint="eastAsia"/>
        </w:rPr>
        <w:t>征求会议主办单位意见和建议，填写《意见反馈表》（附录G）；</w:t>
      </w:r>
    </w:p>
    <w:p>
      <w:pPr>
        <w:pStyle w:val="132"/>
      </w:pPr>
      <w:r>
        <w:rPr>
          <w:rFonts w:hint="eastAsia"/>
        </w:rPr>
        <w:t>征求参会人员对会议服务的意见和要求；</w:t>
      </w:r>
    </w:p>
    <w:p>
      <w:pPr>
        <w:pStyle w:val="132"/>
      </w:pPr>
      <w:r>
        <w:rPr>
          <w:rFonts w:hint="eastAsia"/>
        </w:rPr>
        <w:t>设立投诉箱、意见薄；</w:t>
      </w:r>
    </w:p>
    <w:p>
      <w:pPr>
        <w:pStyle w:val="132"/>
      </w:pPr>
      <w:r>
        <w:rPr>
          <w:rFonts w:hint="eastAsia"/>
        </w:rPr>
        <w:t>互联网反馈。</w:t>
      </w:r>
    </w:p>
    <w:p>
      <w:pPr>
        <w:pStyle w:val="162"/>
        <w:spacing w:before="156" w:beforeLines="50" w:after="156" w:afterLines="50"/>
        <w:rPr>
          <w:rFonts w:ascii="黑体" w:hAnsi="黑体" w:eastAsia="黑体"/>
        </w:rPr>
      </w:pPr>
      <w:r>
        <w:rPr>
          <w:rFonts w:hint="eastAsia" w:ascii="黑体" w:hAnsi="黑体" w:eastAsia="黑体"/>
        </w:rPr>
        <w:t>服务改进</w:t>
      </w:r>
    </w:p>
    <w:p>
      <w:pPr>
        <w:pStyle w:val="165"/>
        <w:rPr>
          <w:rFonts w:hAnsi="宋体"/>
        </w:rPr>
      </w:pPr>
      <w:r>
        <w:rPr>
          <w:rFonts w:hint="eastAsia" w:hAnsi="宋体"/>
        </w:rPr>
        <w:t>应积极采取措施，对出现的不合格服务进行纠正，消除或降低不合格服务造成的不良影响。</w:t>
      </w:r>
    </w:p>
    <w:p>
      <w:pPr>
        <w:pStyle w:val="165"/>
        <w:rPr>
          <w:rFonts w:hAnsi="宋体"/>
        </w:rPr>
      </w:pPr>
      <w:r>
        <w:rPr>
          <w:rFonts w:hint="eastAsia" w:hAnsi="宋体"/>
        </w:rPr>
        <w:t>应认真分析产生不合格服务的原因，制定整改措施，并跟踪整改措施的落实情况。</w:t>
      </w:r>
    </w:p>
    <w:p>
      <w:pPr>
        <w:pStyle w:val="165"/>
        <w:rPr>
          <w:rFonts w:hAnsi="宋体"/>
        </w:rPr>
      </w:pPr>
      <w:r>
        <w:rPr>
          <w:rFonts w:hint="eastAsia" w:hAnsi="宋体"/>
        </w:rPr>
        <w:t>应全面收集信息并分析，持续改进服务质量。</w:t>
      </w:r>
    </w:p>
    <w:bookmarkEnd w:id="122"/>
    <w:bookmarkEnd w:id="123"/>
    <w:bookmarkEnd w:id="124"/>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26"/>
    <w:p>
      <w:pPr>
        <w:pStyle w:val="198"/>
        <w:rPr>
          <w:vanish w:val="0"/>
        </w:rPr>
      </w:pPr>
      <w:bookmarkStart w:id="125" w:name="BookMark5"/>
    </w:p>
    <w:p>
      <w:pPr>
        <w:pStyle w:val="199"/>
        <w:rPr>
          <w:vanish w:val="0"/>
        </w:rPr>
      </w:pPr>
    </w:p>
    <w:p>
      <w:pPr>
        <w:pStyle w:val="76"/>
        <w:spacing w:after="156"/>
      </w:pPr>
      <w:r>
        <w:br w:type="textWrapping"/>
      </w:r>
      <w:bookmarkStart w:id="126" w:name="_Toc167185068"/>
      <w:bookmarkStart w:id="127" w:name="_Toc167185157"/>
      <w:r>
        <w:rPr>
          <w:rFonts w:hint="eastAsia"/>
        </w:rPr>
        <w:t>（资料性）</w:t>
      </w:r>
      <w:r>
        <w:br w:type="textWrapping"/>
      </w:r>
      <w:r>
        <w:rPr>
          <w:rFonts w:hint="eastAsia"/>
        </w:rPr>
        <w:t>会议分类</w:t>
      </w:r>
      <w:bookmarkEnd w:id="126"/>
      <w:bookmarkEnd w:id="127"/>
    </w:p>
    <w:p>
      <w:pPr>
        <w:pStyle w:val="76"/>
        <w:numPr>
          <w:ilvl w:val="0"/>
          <w:numId w:val="0"/>
        </w:numPr>
        <w:spacing w:before="120" w:after="156"/>
        <w:jc w:val="both"/>
      </w:pPr>
      <w:bookmarkStart w:id="128" w:name="_Toc167185069"/>
      <w:bookmarkStart w:id="129" w:name="_Toc167185158"/>
      <w:r>
        <w:rPr>
          <w:rFonts w:hint="eastAsia"/>
        </w:rPr>
        <w:t>不同划分依据下的会议分类见表A.1</w:t>
      </w:r>
      <w:bookmarkEnd w:id="128"/>
      <w:bookmarkEnd w:id="129"/>
    </w:p>
    <w:p>
      <w:pPr>
        <w:pStyle w:val="76"/>
        <w:numPr>
          <w:ilvl w:val="0"/>
          <w:numId w:val="0"/>
        </w:numPr>
        <w:spacing w:before="120" w:after="156"/>
      </w:pPr>
      <w:bookmarkStart w:id="130" w:name="_Toc167185070"/>
      <w:bookmarkStart w:id="131" w:name="_Toc167185159"/>
      <w:r>
        <w:rPr>
          <w:rFonts w:hint="eastAsia"/>
        </w:rPr>
        <w:t>表A.1 会议分类表</w:t>
      </w:r>
      <w:bookmarkEnd w:id="130"/>
      <w:bookmarkEnd w:id="131"/>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1305"/>
        <w:gridCol w:w="5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Align w:val="center"/>
          </w:tcPr>
          <w:p>
            <w:pPr>
              <w:rPr>
                <w:rFonts w:ascii="宋体" w:hAnsi="宋体"/>
              </w:rPr>
            </w:pPr>
            <w:r>
              <w:rPr>
                <w:rFonts w:hint="eastAsia" w:ascii="宋体" w:hAnsi="宋体"/>
              </w:rPr>
              <w:t>分类依据</w:t>
            </w:r>
          </w:p>
        </w:tc>
        <w:tc>
          <w:tcPr>
            <w:tcW w:w="1305" w:type="dxa"/>
            <w:vAlign w:val="center"/>
          </w:tcPr>
          <w:p>
            <w:pPr>
              <w:rPr>
                <w:rFonts w:ascii="宋体" w:hAnsi="宋体"/>
              </w:rPr>
            </w:pPr>
            <w:r>
              <w:rPr>
                <w:rFonts w:hint="eastAsia" w:ascii="宋体" w:hAnsi="宋体"/>
              </w:rPr>
              <w:t>会议类型</w:t>
            </w:r>
          </w:p>
        </w:tc>
        <w:tc>
          <w:tcPr>
            <w:tcW w:w="5758" w:type="dxa"/>
            <w:vAlign w:val="center"/>
          </w:tcPr>
          <w:p>
            <w:pPr>
              <w:rPr>
                <w:rFonts w:ascii="宋体" w:hAnsi="宋体"/>
              </w:rPr>
            </w:pPr>
            <w:r>
              <w:rPr>
                <w:rFonts w:hint="eastAsia" w:ascii="宋体" w:hAnsi="宋体"/>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Merge w:val="restart"/>
            <w:vAlign w:val="center"/>
          </w:tcPr>
          <w:p>
            <w:pPr>
              <w:rPr>
                <w:rFonts w:ascii="宋体" w:hAnsi="宋体"/>
              </w:rPr>
            </w:pPr>
            <w:r>
              <w:rPr>
                <w:rFonts w:hint="eastAsia" w:ascii="宋体" w:hAnsi="宋体"/>
              </w:rPr>
              <w:t>按会议功能划分</w:t>
            </w:r>
          </w:p>
        </w:tc>
        <w:tc>
          <w:tcPr>
            <w:tcW w:w="1305" w:type="dxa"/>
            <w:vAlign w:val="center"/>
          </w:tcPr>
          <w:p>
            <w:pPr>
              <w:rPr>
                <w:rFonts w:ascii="宋体" w:hAnsi="宋体"/>
              </w:rPr>
            </w:pPr>
            <w:r>
              <w:rPr>
                <w:rFonts w:hint="eastAsia" w:ascii="宋体" w:hAnsi="宋体"/>
              </w:rPr>
              <w:t>常规会议</w:t>
            </w:r>
          </w:p>
        </w:tc>
        <w:tc>
          <w:tcPr>
            <w:tcW w:w="5758" w:type="dxa"/>
          </w:tcPr>
          <w:p>
            <w:pPr>
              <w:rPr>
                <w:rFonts w:ascii="宋体" w:hAnsi="宋体"/>
              </w:rPr>
            </w:pPr>
            <w:r>
              <w:rPr>
                <w:rFonts w:hint="eastAsia" w:ascii="宋体" w:hAnsi="宋体"/>
              </w:rPr>
              <w:t>参会人员在同一时间和空间内，通过发言、讨论、演示、商议、表决等多种形式以达到议事协调、交流信息、传播知识、推介联络等目的的一定人群的集体活动。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Merge w:val="continue"/>
            <w:vAlign w:val="center"/>
          </w:tcPr>
          <w:p>
            <w:pPr>
              <w:rPr>
                <w:rFonts w:ascii="宋体" w:hAnsi="宋体"/>
              </w:rPr>
            </w:pPr>
          </w:p>
        </w:tc>
        <w:tc>
          <w:tcPr>
            <w:tcW w:w="1305" w:type="dxa"/>
            <w:vAlign w:val="center"/>
          </w:tcPr>
          <w:p>
            <w:pPr>
              <w:rPr>
                <w:rFonts w:ascii="宋体" w:hAnsi="宋体"/>
              </w:rPr>
            </w:pPr>
            <w:r>
              <w:rPr>
                <w:rFonts w:hint="eastAsia" w:ascii="宋体" w:hAnsi="宋体"/>
              </w:rPr>
              <w:t>电话会议</w:t>
            </w:r>
          </w:p>
        </w:tc>
        <w:tc>
          <w:tcPr>
            <w:tcW w:w="5758" w:type="dxa"/>
          </w:tcPr>
          <w:p>
            <w:pPr>
              <w:rPr>
                <w:rFonts w:ascii="宋体" w:hAnsi="宋体"/>
              </w:rPr>
            </w:pPr>
            <w:r>
              <w:rPr>
                <w:rFonts w:hint="eastAsia" w:ascii="宋体" w:hAnsi="宋体"/>
              </w:rPr>
              <w:t>基于电话线路，将一个会场的声音信号传送到其他会议，确保多个会场的人员同时收听而召开的会议。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Merge w:val="continue"/>
            <w:vAlign w:val="center"/>
          </w:tcPr>
          <w:p>
            <w:pPr>
              <w:rPr>
                <w:rFonts w:ascii="宋体" w:hAnsi="宋体"/>
              </w:rPr>
            </w:pPr>
          </w:p>
        </w:tc>
        <w:tc>
          <w:tcPr>
            <w:tcW w:w="1305" w:type="dxa"/>
            <w:vAlign w:val="center"/>
          </w:tcPr>
          <w:p>
            <w:pPr>
              <w:rPr>
                <w:rFonts w:ascii="宋体" w:hAnsi="宋体"/>
              </w:rPr>
            </w:pPr>
            <w:r>
              <w:rPr>
                <w:rFonts w:hint="eastAsia" w:ascii="宋体" w:hAnsi="宋体"/>
              </w:rPr>
              <w:t>视频会议</w:t>
            </w:r>
          </w:p>
        </w:tc>
        <w:tc>
          <w:tcPr>
            <w:tcW w:w="5758" w:type="dxa"/>
          </w:tcPr>
          <w:p>
            <w:pPr>
              <w:rPr>
                <w:rFonts w:ascii="宋体" w:hAnsi="宋体"/>
              </w:rPr>
            </w:pPr>
            <w:r>
              <w:rPr>
                <w:rFonts w:hint="eastAsia" w:ascii="宋体" w:hAnsi="宋体"/>
              </w:rPr>
              <w:t>基于网络通信技术，利用远程视频设备把不同地点的人员无需物理移动而集合起来召开的会议。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Merge w:val="restart"/>
            <w:vAlign w:val="center"/>
          </w:tcPr>
          <w:p>
            <w:pPr>
              <w:rPr>
                <w:rFonts w:ascii="宋体" w:hAnsi="宋体"/>
              </w:rPr>
            </w:pPr>
            <w:r>
              <w:rPr>
                <w:rFonts w:hint="eastAsia" w:ascii="宋体" w:hAnsi="宋体"/>
              </w:rPr>
              <w:t>按会议密级划分</w:t>
            </w:r>
          </w:p>
        </w:tc>
        <w:tc>
          <w:tcPr>
            <w:tcW w:w="1305" w:type="dxa"/>
            <w:vAlign w:val="center"/>
          </w:tcPr>
          <w:p>
            <w:pPr>
              <w:rPr>
                <w:rFonts w:ascii="宋体" w:hAnsi="宋体"/>
              </w:rPr>
            </w:pPr>
            <w:r>
              <w:rPr>
                <w:rFonts w:hint="eastAsia" w:ascii="宋体" w:hAnsi="宋体"/>
              </w:rPr>
              <w:t>非涉密会议</w:t>
            </w:r>
          </w:p>
        </w:tc>
        <w:tc>
          <w:tcPr>
            <w:tcW w:w="5758" w:type="dxa"/>
          </w:tcPr>
          <w:p>
            <w:pPr>
              <w:rPr>
                <w:rFonts w:ascii="宋体" w:hAnsi="宋体"/>
              </w:rPr>
            </w:pPr>
            <w:r>
              <w:rPr>
                <w:rFonts w:hint="eastAsia" w:ascii="宋体" w:hAnsi="宋体"/>
              </w:rPr>
              <w:t>机关、单位召开的议题、内容或者文件不涉及国家秘密的会议。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Merge w:val="continue"/>
            <w:vAlign w:val="center"/>
          </w:tcPr>
          <w:p>
            <w:pPr>
              <w:rPr>
                <w:rFonts w:ascii="宋体" w:hAnsi="宋体"/>
              </w:rPr>
            </w:pPr>
          </w:p>
        </w:tc>
        <w:tc>
          <w:tcPr>
            <w:tcW w:w="1305" w:type="dxa"/>
            <w:vAlign w:val="center"/>
          </w:tcPr>
          <w:p>
            <w:pPr>
              <w:rPr>
                <w:rFonts w:ascii="宋体" w:hAnsi="宋体"/>
              </w:rPr>
            </w:pPr>
            <w:r>
              <w:rPr>
                <w:rFonts w:hint="eastAsia" w:ascii="宋体" w:hAnsi="宋体"/>
              </w:rPr>
              <w:t>涉密会议</w:t>
            </w:r>
          </w:p>
        </w:tc>
        <w:tc>
          <w:tcPr>
            <w:tcW w:w="5758" w:type="dxa"/>
          </w:tcPr>
          <w:p>
            <w:pPr>
              <w:rPr>
                <w:rFonts w:ascii="宋体" w:hAnsi="宋体"/>
              </w:rPr>
            </w:pPr>
            <w:r>
              <w:rPr>
                <w:rFonts w:hint="eastAsia" w:ascii="宋体" w:hAnsi="宋体"/>
              </w:rPr>
              <w:t>机关、单位召开的议题、内容或者文件涉及国家秘密的会议。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Merge w:val="restart"/>
            <w:vAlign w:val="center"/>
          </w:tcPr>
          <w:p>
            <w:pPr>
              <w:rPr>
                <w:rFonts w:ascii="宋体" w:hAnsi="宋体"/>
              </w:rPr>
            </w:pPr>
            <w:r>
              <w:rPr>
                <w:rFonts w:hint="eastAsia" w:ascii="宋体" w:hAnsi="宋体"/>
              </w:rPr>
              <w:t>按会议级别划分</w:t>
            </w:r>
          </w:p>
        </w:tc>
        <w:tc>
          <w:tcPr>
            <w:tcW w:w="1305" w:type="dxa"/>
            <w:vAlign w:val="center"/>
          </w:tcPr>
          <w:p>
            <w:pPr>
              <w:rPr>
                <w:rFonts w:ascii="宋体" w:hAnsi="宋体"/>
              </w:rPr>
            </w:pPr>
            <w:r>
              <w:rPr>
                <w:rFonts w:hint="eastAsia" w:ascii="宋体" w:hAnsi="宋体"/>
              </w:rPr>
              <w:t>一级会议</w:t>
            </w:r>
          </w:p>
        </w:tc>
        <w:tc>
          <w:tcPr>
            <w:tcW w:w="5758" w:type="dxa"/>
          </w:tcPr>
          <w:p>
            <w:pPr>
              <w:rPr>
                <w:rFonts w:ascii="宋体" w:hAnsi="宋体"/>
              </w:rPr>
            </w:pPr>
            <w:r>
              <w:rPr>
                <w:rFonts w:hint="eastAsia" w:ascii="宋体" w:hAnsi="宋体"/>
              </w:rPr>
              <w:t>市党代会、市人代会、市政协全委会、全市劳模表彰会。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Merge w:val="continue"/>
            <w:vAlign w:val="center"/>
          </w:tcPr>
          <w:p>
            <w:pPr>
              <w:rPr>
                <w:rFonts w:ascii="宋体" w:hAnsi="宋体"/>
              </w:rPr>
            </w:pPr>
          </w:p>
        </w:tc>
        <w:tc>
          <w:tcPr>
            <w:tcW w:w="1305" w:type="dxa"/>
            <w:vAlign w:val="center"/>
          </w:tcPr>
          <w:p>
            <w:pPr>
              <w:rPr>
                <w:rFonts w:ascii="宋体" w:hAnsi="宋体"/>
              </w:rPr>
            </w:pPr>
            <w:r>
              <w:rPr>
                <w:rFonts w:hint="eastAsia" w:ascii="宋体" w:hAnsi="宋体"/>
              </w:rPr>
              <w:t>二级会议</w:t>
            </w:r>
          </w:p>
        </w:tc>
        <w:tc>
          <w:tcPr>
            <w:tcW w:w="5758" w:type="dxa"/>
          </w:tcPr>
          <w:p>
            <w:pPr>
              <w:rPr>
                <w:rFonts w:ascii="宋体" w:hAnsi="宋体"/>
              </w:rPr>
            </w:pPr>
            <w:r>
              <w:rPr>
                <w:rFonts w:hint="eastAsia" w:ascii="宋体" w:hAnsi="宋体"/>
              </w:rPr>
              <w:t>市委全会、市委扩大会、市人大常委会、市政府全会、市政协常委会、市纪委全会、市委市政府的全市性会议、各民主党派和群众团体代表大会。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Merge w:val="continue"/>
            <w:vAlign w:val="center"/>
          </w:tcPr>
          <w:p>
            <w:pPr>
              <w:rPr>
                <w:rFonts w:ascii="宋体" w:hAnsi="宋体"/>
              </w:rPr>
            </w:pPr>
          </w:p>
        </w:tc>
        <w:tc>
          <w:tcPr>
            <w:tcW w:w="1305" w:type="dxa"/>
            <w:vAlign w:val="center"/>
          </w:tcPr>
          <w:p>
            <w:pPr>
              <w:rPr>
                <w:rFonts w:ascii="宋体" w:hAnsi="宋体"/>
              </w:rPr>
            </w:pPr>
            <w:r>
              <w:rPr>
                <w:rFonts w:hint="eastAsia" w:ascii="宋体" w:hAnsi="宋体"/>
              </w:rPr>
              <w:t>三级会议</w:t>
            </w:r>
          </w:p>
        </w:tc>
        <w:tc>
          <w:tcPr>
            <w:tcW w:w="5758" w:type="dxa"/>
          </w:tcPr>
          <w:p>
            <w:pPr>
              <w:rPr>
                <w:rFonts w:ascii="宋体" w:hAnsi="宋体"/>
              </w:rPr>
            </w:pPr>
            <w:r>
              <w:rPr>
                <w:rFonts w:hint="eastAsia" w:ascii="宋体" w:hAnsi="宋体"/>
              </w:rPr>
              <w:t>市直单位召开的工作会。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vMerge w:val="continue"/>
            <w:vAlign w:val="center"/>
          </w:tcPr>
          <w:p>
            <w:pPr>
              <w:rPr>
                <w:rFonts w:ascii="宋体" w:hAnsi="宋体"/>
              </w:rPr>
            </w:pPr>
          </w:p>
        </w:tc>
        <w:tc>
          <w:tcPr>
            <w:tcW w:w="1305" w:type="dxa"/>
            <w:vAlign w:val="center"/>
          </w:tcPr>
          <w:p>
            <w:pPr>
              <w:rPr>
                <w:rFonts w:ascii="宋体" w:hAnsi="宋体"/>
              </w:rPr>
            </w:pPr>
            <w:r>
              <w:rPr>
                <w:rFonts w:hint="eastAsia" w:ascii="宋体" w:hAnsi="宋体"/>
              </w:rPr>
              <w:t>四级会议</w:t>
            </w:r>
          </w:p>
        </w:tc>
        <w:tc>
          <w:tcPr>
            <w:tcW w:w="5758" w:type="dxa"/>
          </w:tcPr>
          <w:p>
            <w:pPr>
              <w:rPr>
                <w:rFonts w:ascii="宋体" w:hAnsi="宋体"/>
              </w:rPr>
            </w:pPr>
            <w:r>
              <w:rPr>
                <w:rFonts w:hint="eastAsia" w:ascii="宋体" w:hAnsi="宋体"/>
              </w:rPr>
              <w:t>一、二、三级会议以外的其他业务会，包括小型研讨会、座谈会、评审会等。</w:t>
            </w:r>
          </w:p>
        </w:tc>
      </w:tr>
    </w:tbl>
    <w:p>
      <w:pPr>
        <w:pStyle w:val="56"/>
        <w:ind w:firstLine="420"/>
        <w:rPr>
          <w:rFonts w:hAnsi="宋体"/>
        </w:rPr>
      </w:pPr>
    </w:p>
    <w:p>
      <w:pPr>
        <w:pStyle w:val="56"/>
        <w:ind w:firstLine="420"/>
      </w:pPr>
    </w:p>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after="156"/>
      </w:pPr>
      <w:r>
        <w:br w:type="textWrapping"/>
      </w:r>
      <w:bookmarkStart w:id="132" w:name="_Toc167185071"/>
      <w:bookmarkStart w:id="133" w:name="_Toc167185160"/>
      <w:r>
        <w:rPr>
          <w:rFonts w:hint="eastAsia"/>
        </w:rPr>
        <w:t>（资料性）</w:t>
      </w:r>
      <w:r>
        <w:br w:type="textWrapping"/>
      </w:r>
      <w:r>
        <w:rPr>
          <w:rFonts w:hint="eastAsia"/>
        </w:rPr>
        <w:t>会务服务人员仪容、仪表、仪态</w:t>
      </w:r>
      <w:bookmarkEnd w:id="132"/>
      <w:bookmarkEnd w:id="133"/>
    </w:p>
    <w:p>
      <w:pPr>
        <w:pStyle w:val="76"/>
        <w:numPr>
          <w:ilvl w:val="0"/>
          <w:numId w:val="0"/>
        </w:numPr>
        <w:spacing w:before="0" w:after="0" w:afterLines="0"/>
        <w:jc w:val="left"/>
        <w:rPr>
          <w:rFonts w:ascii="宋体" w:hAnsi="宋体" w:eastAsia="宋体"/>
        </w:rPr>
      </w:pPr>
      <w:bookmarkStart w:id="134" w:name="_Toc167185072"/>
      <w:bookmarkStart w:id="135" w:name="_Toc167185161"/>
      <w:r>
        <w:rPr>
          <w:rFonts w:ascii="宋体" w:hAnsi="宋体" w:eastAsia="宋体"/>
        </w:rPr>
        <w:t>B</w:t>
      </w:r>
      <w:r>
        <w:rPr>
          <w:rFonts w:hint="eastAsia" w:ascii="宋体" w:hAnsi="宋体" w:eastAsia="宋体"/>
        </w:rPr>
        <w:t>.1</w:t>
      </w:r>
      <w:r>
        <w:rPr>
          <w:rFonts w:ascii="宋体" w:hAnsi="宋体" w:eastAsia="宋体"/>
        </w:rPr>
        <w:t>仪容</w:t>
      </w:r>
      <w:bookmarkEnd w:id="134"/>
      <w:bookmarkEnd w:id="135"/>
      <w:r>
        <w:rPr>
          <w:rFonts w:ascii="宋体" w:hAnsi="宋体" w:eastAsia="宋体"/>
        </w:rPr>
        <w:t xml:space="preserve"> </w:t>
      </w:r>
    </w:p>
    <w:p>
      <w:pPr>
        <w:pStyle w:val="76"/>
        <w:numPr>
          <w:ilvl w:val="0"/>
          <w:numId w:val="0"/>
        </w:numPr>
        <w:spacing w:before="0" w:after="0" w:afterLines="0"/>
        <w:jc w:val="left"/>
        <w:rPr>
          <w:rFonts w:ascii="宋体" w:hAnsi="宋体" w:eastAsia="宋体"/>
        </w:rPr>
      </w:pPr>
      <w:bookmarkStart w:id="136" w:name="_Toc167185162"/>
      <w:bookmarkStart w:id="137" w:name="_Toc167185073"/>
      <w:r>
        <w:rPr>
          <w:rFonts w:ascii="宋体" w:hAnsi="宋体" w:eastAsia="宋体"/>
        </w:rPr>
        <w:t>B.1.1 发式简洁， 面容清爽。</w:t>
      </w:r>
      <w:r>
        <w:rPr>
          <w:rFonts w:hint="eastAsia" w:ascii="宋体" w:hAnsi="宋体" w:eastAsia="宋体"/>
        </w:rPr>
        <w:t>女服务人员</w:t>
      </w:r>
      <w:r>
        <w:rPr>
          <w:rFonts w:ascii="宋体" w:hAnsi="宋体" w:eastAsia="宋体"/>
        </w:rPr>
        <w:t>长发应束起， 统一佩戴发网， 不应染彩发， 面部化淡妆， 以清新、自然、淡雅为主； 男</w:t>
      </w:r>
      <w:r>
        <w:rPr>
          <w:rFonts w:hint="eastAsia" w:ascii="宋体" w:hAnsi="宋体" w:eastAsia="宋体"/>
        </w:rPr>
        <w:t>服务人员</w:t>
      </w:r>
      <w:r>
        <w:rPr>
          <w:rFonts w:ascii="宋体" w:hAnsi="宋体" w:eastAsia="宋体"/>
        </w:rPr>
        <w:t>发长前不覆额， 侧不掩耳， 后不及领， 面部干净整洁， 禁止留胡子。精神饱满， 面部保持自然亲切的微笑。</w:t>
      </w:r>
      <w:bookmarkEnd w:id="136"/>
      <w:bookmarkEnd w:id="137"/>
      <w:r>
        <w:rPr>
          <w:rFonts w:ascii="宋体" w:hAnsi="宋体" w:eastAsia="宋体"/>
        </w:rPr>
        <w:t xml:space="preserve"> </w:t>
      </w:r>
    </w:p>
    <w:p>
      <w:pPr>
        <w:pStyle w:val="76"/>
        <w:numPr>
          <w:ilvl w:val="0"/>
          <w:numId w:val="0"/>
        </w:numPr>
        <w:spacing w:before="0" w:after="0" w:afterLines="0"/>
        <w:jc w:val="left"/>
        <w:rPr>
          <w:rFonts w:ascii="宋体" w:hAnsi="宋体" w:eastAsia="宋体"/>
        </w:rPr>
      </w:pPr>
      <w:bookmarkStart w:id="138" w:name="_Toc167185163"/>
      <w:bookmarkStart w:id="139" w:name="_Toc167185074"/>
      <w:r>
        <w:rPr>
          <w:rFonts w:ascii="宋体" w:hAnsi="宋体" w:eastAsia="宋体"/>
        </w:rPr>
        <w:t>B.1.2 指甲修剪整齐洁净， 不宜过长， 不涂指甲油。</w:t>
      </w:r>
      <w:bookmarkEnd w:id="138"/>
      <w:bookmarkEnd w:id="139"/>
      <w:r>
        <w:rPr>
          <w:rFonts w:ascii="宋体" w:hAnsi="宋体" w:eastAsia="宋体"/>
        </w:rPr>
        <w:t xml:space="preserve"> </w:t>
      </w:r>
    </w:p>
    <w:p>
      <w:pPr>
        <w:pStyle w:val="76"/>
        <w:numPr>
          <w:ilvl w:val="0"/>
          <w:numId w:val="0"/>
        </w:numPr>
        <w:spacing w:before="0" w:after="0" w:afterLines="0"/>
        <w:jc w:val="left"/>
        <w:rPr>
          <w:rFonts w:ascii="宋体" w:hAnsi="宋体" w:eastAsia="宋体"/>
        </w:rPr>
      </w:pPr>
      <w:bookmarkStart w:id="140" w:name="_Toc167185164"/>
      <w:bookmarkStart w:id="141" w:name="_Toc167185075"/>
      <w:r>
        <w:rPr>
          <w:rFonts w:ascii="宋体" w:hAnsi="宋体" w:eastAsia="宋体"/>
        </w:rPr>
        <w:t xml:space="preserve">B.1.3 保持头发、口腔、手部、身体干净清洁无异味， </w:t>
      </w:r>
      <w:r>
        <w:rPr>
          <w:rFonts w:hint="eastAsia" w:ascii="宋体" w:hAnsi="宋体" w:eastAsia="宋体"/>
        </w:rPr>
        <w:t>无</w:t>
      </w:r>
      <w:r>
        <w:rPr>
          <w:rFonts w:ascii="宋体" w:hAnsi="宋体" w:eastAsia="宋体"/>
        </w:rPr>
        <w:t>纹身。</w:t>
      </w:r>
      <w:bookmarkEnd w:id="140"/>
      <w:bookmarkEnd w:id="141"/>
      <w:r>
        <w:rPr>
          <w:rFonts w:ascii="宋体" w:hAnsi="宋体" w:eastAsia="宋体"/>
        </w:rPr>
        <w:t xml:space="preserve"> </w:t>
      </w:r>
    </w:p>
    <w:p>
      <w:pPr>
        <w:pStyle w:val="76"/>
        <w:numPr>
          <w:ilvl w:val="0"/>
          <w:numId w:val="0"/>
        </w:numPr>
        <w:spacing w:before="0" w:after="0" w:afterLines="0"/>
        <w:jc w:val="left"/>
        <w:rPr>
          <w:rFonts w:ascii="宋体" w:hAnsi="宋体" w:eastAsia="宋体"/>
        </w:rPr>
      </w:pPr>
      <w:bookmarkStart w:id="142" w:name="_Toc167185076"/>
      <w:bookmarkStart w:id="143" w:name="_Toc167185165"/>
      <w:r>
        <w:rPr>
          <w:rFonts w:ascii="宋体" w:hAnsi="宋体" w:eastAsia="宋体"/>
        </w:rPr>
        <w:t>B.1.4 领导近身</w:t>
      </w:r>
      <w:r>
        <w:rPr>
          <w:rFonts w:hint="eastAsia" w:ascii="宋体" w:hAnsi="宋体" w:eastAsia="宋体"/>
        </w:rPr>
        <w:t>服务人员无异味</w:t>
      </w:r>
      <w:r>
        <w:rPr>
          <w:rFonts w:ascii="宋体" w:hAnsi="宋体" w:eastAsia="宋体"/>
        </w:rPr>
        <w:t>。</w:t>
      </w:r>
      <w:bookmarkEnd w:id="142"/>
      <w:bookmarkEnd w:id="143"/>
      <w:r>
        <w:rPr>
          <w:rFonts w:ascii="宋体" w:hAnsi="宋体" w:eastAsia="宋体"/>
        </w:rPr>
        <w:t xml:space="preserve"> </w:t>
      </w:r>
    </w:p>
    <w:p>
      <w:pPr>
        <w:pStyle w:val="76"/>
        <w:numPr>
          <w:ilvl w:val="0"/>
          <w:numId w:val="0"/>
        </w:numPr>
        <w:spacing w:before="0" w:after="0" w:afterLines="0"/>
        <w:jc w:val="left"/>
        <w:rPr>
          <w:rFonts w:ascii="宋体" w:hAnsi="宋体" w:eastAsia="宋体"/>
        </w:rPr>
      </w:pPr>
      <w:bookmarkStart w:id="144" w:name="_Toc167185166"/>
      <w:bookmarkStart w:id="145" w:name="_Toc167185077"/>
      <w:r>
        <w:rPr>
          <w:rFonts w:ascii="宋体" w:hAnsi="宋体" w:eastAsia="宋体"/>
        </w:rPr>
        <w:t>B.2 仪表</w:t>
      </w:r>
      <w:bookmarkEnd w:id="144"/>
      <w:bookmarkEnd w:id="145"/>
      <w:r>
        <w:rPr>
          <w:rFonts w:ascii="宋体" w:hAnsi="宋体" w:eastAsia="宋体"/>
        </w:rPr>
        <w:t xml:space="preserve"> </w:t>
      </w:r>
    </w:p>
    <w:p>
      <w:pPr>
        <w:pStyle w:val="76"/>
        <w:numPr>
          <w:ilvl w:val="0"/>
          <w:numId w:val="0"/>
        </w:numPr>
        <w:spacing w:before="0" w:after="0" w:afterLines="0"/>
        <w:jc w:val="left"/>
        <w:rPr>
          <w:rFonts w:ascii="宋体" w:hAnsi="宋体" w:eastAsia="宋体"/>
        </w:rPr>
      </w:pPr>
      <w:bookmarkStart w:id="146" w:name="_Toc167185167"/>
      <w:bookmarkStart w:id="147" w:name="_Toc167185078"/>
      <w:r>
        <w:rPr>
          <w:rFonts w:ascii="宋体" w:hAnsi="宋体" w:eastAsia="宋体"/>
        </w:rPr>
        <w:t>B.2.1 一般要求</w:t>
      </w:r>
      <w:bookmarkEnd w:id="146"/>
      <w:bookmarkEnd w:id="147"/>
      <w:r>
        <w:rPr>
          <w:rFonts w:ascii="宋体" w:hAnsi="宋体" w:eastAsia="宋体"/>
        </w:rPr>
        <w:t xml:space="preserve"> </w:t>
      </w:r>
    </w:p>
    <w:p>
      <w:pPr>
        <w:pStyle w:val="76"/>
        <w:numPr>
          <w:ilvl w:val="0"/>
          <w:numId w:val="0"/>
        </w:numPr>
        <w:spacing w:before="0" w:after="0" w:afterLines="0"/>
        <w:jc w:val="left"/>
        <w:rPr>
          <w:rFonts w:ascii="宋体" w:hAnsi="宋体" w:eastAsia="宋体"/>
        </w:rPr>
      </w:pPr>
      <w:bookmarkStart w:id="148" w:name="_Toc167185168"/>
      <w:bookmarkStart w:id="149" w:name="_Toc167185079"/>
      <w:r>
        <w:rPr>
          <w:rFonts w:ascii="宋体" w:hAnsi="宋体" w:eastAsia="宋体"/>
        </w:rPr>
        <w:t>B.2.1.1 根据实际情况选择与制作工作人员服装与配饰， 选择款式相同的工鞋。保证</w:t>
      </w:r>
      <w:r>
        <w:rPr>
          <w:rFonts w:hint="eastAsia" w:ascii="宋体" w:hAnsi="宋体" w:eastAsia="宋体"/>
        </w:rPr>
        <w:t>服务人员</w:t>
      </w:r>
      <w:r>
        <w:rPr>
          <w:rFonts w:ascii="宋体" w:hAnsi="宋体" w:eastAsia="宋体"/>
        </w:rPr>
        <w:t>的服装、 配饰的颜色、样式统一。</w:t>
      </w:r>
      <w:bookmarkEnd w:id="148"/>
      <w:bookmarkEnd w:id="149"/>
      <w:r>
        <w:rPr>
          <w:rFonts w:ascii="宋体" w:hAnsi="宋体" w:eastAsia="宋体"/>
        </w:rPr>
        <w:t xml:space="preserve"> </w:t>
      </w:r>
    </w:p>
    <w:p>
      <w:pPr>
        <w:pStyle w:val="76"/>
        <w:numPr>
          <w:ilvl w:val="0"/>
          <w:numId w:val="0"/>
        </w:numPr>
        <w:spacing w:before="0" w:after="0" w:afterLines="0"/>
        <w:jc w:val="left"/>
        <w:rPr>
          <w:rFonts w:ascii="宋体" w:hAnsi="宋体" w:eastAsia="宋体"/>
        </w:rPr>
      </w:pPr>
      <w:bookmarkStart w:id="150" w:name="_Toc167185080"/>
      <w:bookmarkStart w:id="151" w:name="_Toc167185169"/>
      <w:r>
        <w:rPr>
          <w:rFonts w:ascii="宋体" w:hAnsi="宋体" w:eastAsia="宋体"/>
        </w:rPr>
        <w:t>B.2.1.2 工装外不应显露个人物品， 衣袋、裤袋整理平整， 勿显鼓起。保持</w:t>
      </w:r>
      <w:r>
        <w:rPr>
          <w:rFonts w:hint="eastAsia" w:ascii="宋体" w:hAnsi="宋体" w:eastAsia="宋体"/>
        </w:rPr>
        <w:t>服</w:t>
      </w:r>
      <w:r>
        <w:rPr>
          <w:rFonts w:ascii="宋体" w:hAnsi="宋体" w:eastAsia="宋体"/>
        </w:rPr>
        <w:t>装</w:t>
      </w:r>
      <w:r>
        <w:rPr>
          <w:rFonts w:hint="eastAsia" w:ascii="宋体" w:hAnsi="宋体" w:eastAsia="宋体"/>
        </w:rPr>
        <w:t>、鞋面</w:t>
      </w:r>
      <w:r>
        <w:rPr>
          <w:rFonts w:ascii="宋体" w:hAnsi="宋体" w:eastAsia="宋体"/>
        </w:rPr>
        <w:t>干净、平整， 无明显污迹、破损。规范着装，佩戴工号牌上岗服务，牌上应；有工作部门、编号</w:t>
      </w:r>
      <w:r>
        <w:rPr>
          <w:rFonts w:hint="eastAsia" w:ascii="宋体" w:hAnsi="宋体" w:eastAsia="宋体"/>
        </w:rPr>
        <w:t>。</w:t>
      </w:r>
      <w:bookmarkEnd w:id="150"/>
      <w:bookmarkEnd w:id="151"/>
      <w:r>
        <w:rPr>
          <w:rFonts w:ascii="宋体" w:hAnsi="宋体" w:eastAsia="宋体"/>
        </w:rPr>
        <w:t xml:space="preserve"> </w:t>
      </w:r>
    </w:p>
    <w:p>
      <w:pPr>
        <w:pStyle w:val="76"/>
        <w:numPr>
          <w:ilvl w:val="0"/>
          <w:numId w:val="0"/>
        </w:numPr>
        <w:spacing w:before="0" w:after="0" w:afterLines="0"/>
        <w:jc w:val="left"/>
        <w:rPr>
          <w:rFonts w:ascii="宋体" w:hAnsi="宋体" w:eastAsia="宋体"/>
        </w:rPr>
      </w:pPr>
      <w:bookmarkStart w:id="152" w:name="_Toc167185170"/>
      <w:bookmarkStart w:id="153" w:name="_Toc167185081"/>
      <w:r>
        <w:rPr>
          <w:rFonts w:ascii="宋体" w:hAnsi="宋体" w:eastAsia="宋体"/>
        </w:rPr>
        <w:t>B.2.2 着装要求</w:t>
      </w:r>
      <w:bookmarkEnd w:id="152"/>
      <w:bookmarkEnd w:id="153"/>
      <w:r>
        <w:rPr>
          <w:rFonts w:ascii="宋体" w:hAnsi="宋体" w:eastAsia="宋体"/>
        </w:rPr>
        <w:t xml:space="preserve"> </w:t>
      </w:r>
    </w:p>
    <w:p>
      <w:pPr>
        <w:pStyle w:val="76"/>
        <w:numPr>
          <w:ilvl w:val="0"/>
          <w:numId w:val="0"/>
        </w:numPr>
        <w:spacing w:before="0" w:after="0" w:afterLines="0"/>
        <w:jc w:val="left"/>
        <w:rPr>
          <w:rFonts w:ascii="宋体" w:hAnsi="宋体" w:eastAsia="宋体"/>
        </w:rPr>
      </w:pPr>
      <w:bookmarkStart w:id="154" w:name="_Toc167185171"/>
      <w:bookmarkStart w:id="155" w:name="_Toc167185082"/>
      <w:r>
        <w:rPr>
          <w:rFonts w:ascii="宋体" w:hAnsi="宋体" w:eastAsia="宋体"/>
        </w:rPr>
        <w:t>B.2.2.1 女士着装应统一，着裙装时，直筒裙宜配连体裤袜和工鞋；着裤装时，西裤应烫直， 折痕清晰，长及鞋面。</w:t>
      </w:r>
      <w:bookmarkEnd w:id="154"/>
      <w:bookmarkEnd w:id="155"/>
      <w:r>
        <w:rPr>
          <w:rFonts w:ascii="宋体" w:hAnsi="宋体" w:eastAsia="宋体"/>
        </w:rPr>
        <w:t xml:space="preserve"> </w:t>
      </w:r>
    </w:p>
    <w:p>
      <w:pPr>
        <w:pStyle w:val="76"/>
        <w:numPr>
          <w:ilvl w:val="0"/>
          <w:numId w:val="0"/>
        </w:numPr>
        <w:spacing w:before="0" w:after="0" w:afterLines="0"/>
        <w:jc w:val="left"/>
        <w:rPr>
          <w:rFonts w:ascii="宋体" w:hAnsi="宋体" w:eastAsia="宋体"/>
        </w:rPr>
      </w:pPr>
      <w:bookmarkStart w:id="156" w:name="_Toc167185172"/>
      <w:bookmarkStart w:id="157" w:name="_Toc167185083"/>
      <w:r>
        <w:rPr>
          <w:rFonts w:ascii="宋体" w:hAnsi="宋体" w:eastAsia="宋体"/>
        </w:rPr>
        <w:t>B.2.2.2 男士着装应统一， 着西装时， 西裤应烫直， 折痕清晰， 长及鞋面； 衬衫领口应扣好， 不应敞 开； 着长袖时， 袖口应扣好， 不应挽袖。</w:t>
      </w:r>
      <w:bookmarkEnd w:id="156"/>
      <w:bookmarkEnd w:id="157"/>
      <w:r>
        <w:rPr>
          <w:rFonts w:ascii="宋体" w:hAnsi="宋体" w:eastAsia="宋体"/>
        </w:rPr>
        <w:t xml:space="preserve"> </w:t>
      </w:r>
    </w:p>
    <w:p>
      <w:pPr>
        <w:pStyle w:val="76"/>
        <w:numPr>
          <w:ilvl w:val="0"/>
          <w:numId w:val="0"/>
        </w:numPr>
        <w:spacing w:before="0" w:after="0" w:afterLines="0"/>
        <w:jc w:val="left"/>
        <w:rPr>
          <w:rFonts w:ascii="宋体" w:hAnsi="宋体" w:eastAsia="宋体"/>
        </w:rPr>
      </w:pPr>
      <w:bookmarkStart w:id="158" w:name="_Toc167185173"/>
      <w:bookmarkStart w:id="159" w:name="_Toc167185084"/>
      <w:r>
        <w:rPr>
          <w:rFonts w:ascii="宋体" w:hAnsi="宋体" w:eastAsia="宋体"/>
        </w:rPr>
        <w:t>B.2.3 工作牌佩戴要求 工作牌宜佩带在左胸， 锁骨下方3～ 4指位置， 工牌应平直， 不应斜戴。</w:t>
      </w:r>
      <w:bookmarkEnd w:id="158"/>
      <w:bookmarkEnd w:id="159"/>
      <w:r>
        <w:rPr>
          <w:rFonts w:ascii="宋体" w:hAnsi="宋体" w:eastAsia="宋体"/>
        </w:rPr>
        <w:t xml:space="preserve"> </w:t>
      </w:r>
    </w:p>
    <w:p>
      <w:pPr>
        <w:pStyle w:val="76"/>
        <w:numPr>
          <w:ilvl w:val="0"/>
          <w:numId w:val="0"/>
        </w:numPr>
        <w:spacing w:before="0" w:after="0" w:afterLines="0"/>
        <w:jc w:val="left"/>
        <w:rPr>
          <w:rFonts w:ascii="宋体" w:hAnsi="宋体" w:eastAsia="宋体"/>
        </w:rPr>
      </w:pPr>
      <w:bookmarkStart w:id="160" w:name="_Toc167185174"/>
      <w:bookmarkStart w:id="161" w:name="_Toc167185085"/>
      <w:r>
        <w:rPr>
          <w:rFonts w:ascii="宋体" w:hAnsi="宋体" w:eastAsia="宋体"/>
        </w:rPr>
        <w:t>B.2.4 工鞋 着黑色工鞋（ 以软底鞋为宜） ， 皮鞋款式为船型， 女士鞋高宜为3 cm， 鞋面光滑， 不宜有饰品， 皮 鞋表面保持光亮。</w:t>
      </w:r>
      <w:bookmarkEnd w:id="160"/>
      <w:bookmarkEnd w:id="161"/>
      <w:r>
        <w:rPr>
          <w:rFonts w:ascii="宋体" w:hAnsi="宋体" w:eastAsia="宋体"/>
        </w:rPr>
        <w:t xml:space="preserve"> </w:t>
      </w:r>
    </w:p>
    <w:p>
      <w:pPr>
        <w:pStyle w:val="76"/>
        <w:numPr>
          <w:ilvl w:val="0"/>
          <w:numId w:val="0"/>
        </w:numPr>
        <w:spacing w:before="0" w:after="0" w:afterLines="0"/>
        <w:jc w:val="left"/>
        <w:rPr>
          <w:rFonts w:ascii="宋体" w:hAnsi="宋体" w:eastAsia="宋体"/>
        </w:rPr>
      </w:pPr>
      <w:bookmarkStart w:id="162" w:name="_Toc167185086"/>
      <w:bookmarkStart w:id="163" w:name="_Toc167185175"/>
      <w:r>
        <w:rPr>
          <w:rFonts w:ascii="宋体" w:hAnsi="宋体" w:eastAsia="宋体"/>
        </w:rPr>
        <w:t>B.2.5 丝袜</w:t>
      </w:r>
      <w:bookmarkEnd w:id="162"/>
      <w:bookmarkEnd w:id="163"/>
      <w:r>
        <w:rPr>
          <w:rFonts w:ascii="宋体" w:hAnsi="宋体" w:eastAsia="宋体"/>
        </w:rPr>
        <w:t xml:space="preserve"> </w:t>
      </w:r>
    </w:p>
    <w:p>
      <w:pPr>
        <w:pStyle w:val="76"/>
        <w:numPr>
          <w:ilvl w:val="0"/>
          <w:numId w:val="0"/>
        </w:numPr>
        <w:spacing w:before="0" w:after="0" w:afterLines="0"/>
        <w:jc w:val="left"/>
        <w:rPr>
          <w:rFonts w:ascii="宋体" w:hAnsi="宋体" w:eastAsia="宋体"/>
        </w:rPr>
      </w:pPr>
      <w:bookmarkStart w:id="164" w:name="_Toc167185176"/>
      <w:bookmarkStart w:id="165" w:name="_Toc167185087"/>
      <w:r>
        <w:rPr>
          <w:rFonts w:ascii="宋体" w:hAnsi="宋体" w:eastAsia="宋体"/>
        </w:rPr>
        <w:t>B.2.5.1 女士着直筒裙时宜穿浅咖色透明连体裤袜， 并保持丝袜干净、完好， 不宜穿短袜。</w:t>
      </w:r>
      <w:bookmarkEnd w:id="164"/>
      <w:bookmarkEnd w:id="165"/>
      <w:r>
        <w:rPr>
          <w:rFonts w:ascii="宋体" w:hAnsi="宋体" w:eastAsia="宋体"/>
        </w:rPr>
        <w:t xml:space="preserve"> </w:t>
      </w:r>
    </w:p>
    <w:p>
      <w:pPr>
        <w:pStyle w:val="76"/>
        <w:numPr>
          <w:ilvl w:val="0"/>
          <w:numId w:val="0"/>
        </w:numPr>
        <w:spacing w:before="0" w:after="0" w:afterLines="0"/>
        <w:jc w:val="left"/>
        <w:rPr>
          <w:rFonts w:ascii="宋体" w:hAnsi="宋体" w:eastAsia="宋体"/>
        </w:rPr>
      </w:pPr>
      <w:bookmarkStart w:id="166" w:name="_Toc167185177"/>
      <w:bookmarkStart w:id="167" w:name="_Toc167185088"/>
      <w:r>
        <w:rPr>
          <w:rFonts w:ascii="宋体" w:hAnsi="宋体" w:eastAsia="宋体"/>
        </w:rPr>
        <w:t>B.2.5.2 男士宜穿深蓝色或黑色长筒袜， 不应着浅色短筒袜。</w:t>
      </w:r>
      <w:bookmarkEnd w:id="166"/>
      <w:bookmarkEnd w:id="167"/>
      <w:r>
        <w:rPr>
          <w:rFonts w:ascii="宋体" w:hAnsi="宋体" w:eastAsia="宋体"/>
        </w:rPr>
        <w:t xml:space="preserve"> </w:t>
      </w:r>
    </w:p>
    <w:p>
      <w:pPr>
        <w:pStyle w:val="76"/>
        <w:numPr>
          <w:ilvl w:val="0"/>
          <w:numId w:val="0"/>
        </w:numPr>
        <w:spacing w:before="0" w:after="0" w:afterLines="0"/>
        <w:jc w:val="left"/>
      </w:pPr>
      <w:bookmarkStart w:id="168" w:name="_Toc167185178"/>
      <w:bookmarkStart w:id="169" w:name="_Toc167185089"/>
      <w:r>
        <w:rPr>
          <w:rFonts w:ascii="宋体" w:hAnsi="宋体" w:eastAsia="宋体"/>
        </w:rPr>
        <w:t>B.2.6 饰品 除佩戴手表外， 不宜佩戴其他饰品。</w:t>
      </w:r>
      <w:bookmarkEnd w:id="168"/>
      <w:bookmarkEnd w:id="169"/>
      <w:r>
        <w:rPr>
          <w:rFonts w:ascii="宋体" w:hAnsi="宋体" w:eastAsia="宋体"/>
        </w:rPr>
        <w:t xml:space="preserve"> </w:t>
      </w:r>
      <w:r>
        <w:t xml:space="preserve"> </w:t>
      </w:r>
    </w:p>
    <w:p>
      <w:pPr>
        <w:pStyle w:val="76"/>
        <w:numPr>
          <w:ilvl w:val="0"/>
          <w:numId w:val="0"/>
        </w:numPr>
        <w:spacing w:before="0" w:after="0" w:afterLines="0"/>
        <w:jc w:val="left"/>
        <w:rPr>
          <w:rFonts w:ascii="宋体" w:hAnsi="宋体" w:eastAsia="宋体"/>
        </w:rPr>
      </w:pPr>
      <w:bookmarkStart w:id="170" w:name="_Toc167185179"/>
      <w:bookmarkStart w:id="171" w:name="_Toc167185090"/>
      <w:r>
        <w:rPr>
          <w:rFonts w:ascii="宋体" w:hAnsi="宋体" w:eastAsia="宋体"/>
        </w:rPr>
        <w:t>B.3 仪态</w:t>
      </w:r>
      <w:bookmarkEnd w:id="170"/>
      <w:bookmarkEnd w:id="171"/>
      <w:r>
        <w:rPr>
          <w:rFonts w:ascii="宋体" w:hAnsi="宋体" w:eastAsia="宋体"/>
        </w:rPr>
        <w:t xml:space="preserve"> </w:t>
      </w:r>
    </w:p>
    <w:p>
      <w:pPr>
        <w:pStyle w:val="76"/>
        <w:numPr>
          <w:ilvl w:val="0"/>
          <w:numId w:val="0"/>
        </w:numPr>
        <w:spacing w:before="0" w:after="0" w:afterLines="0"/>
        <w:jc w:val="left"/>
        <w:rPr>
          <w:rFonts w:ascii="宋体" w:hAnsi="宋体" w:eastAsia="宋体"/>
        </w:rPr>
      </w:pPr>
      <w:bookmarkStart w:id="172" w:name="_Toc167185180"/>
      <w:bookmarkStart w:id="173" w:name="_Toc167185091"/>
      <w:r>
        <w:rPr>
          <w:rFonts w:ascii="宋体" w:hAnsi="宋体" w:eastAsia="宋体"/>
        </w:rPr>
        <w:t>B.3.1 站姿</w:t>
      </w:r>
      <w:bookmarkEnd w:id="172"/>
      <w:bookmarkEnd w:id="173"/>
      <w:r>
        <w:rPr>
          <w:rFonts w:ascii="宋体" w:hAnsi="宋体" w:eastAsia="宋体"/>
        </w:rPr>
        <w:t xml:space="preserve"> </w:t>
      </w:r>
    </w:p>
    <w:p>
      <w:pPr>
        <w:pStyle w:val="76"/>
        <w:numPr>
          <w:ilvl w:val="0"/>
          <w:numId w:val="0"/>
        </w:numPr>
        <w:spacing w:before="0" w:after="0" w:afterLines="0"/>
        <w:jc w:val="left"/>
        <w:rPr>
          <w:rFonts w:ascii="宋体" w:hAnsi="宋体" w:eastAsia="宋体"/>
        </w:rPr>
      </w:pPr>
      <w:bookmarkStart w:id="174" w:name="_Toc167185181"/>
      <w:bookmarkStart w:id="175" w:name="_Toc167185092"/>
      <w:r>
        <w:rPr>
          <w:rFonts w:ascii="宋体" w:hAnsi="宋体" w:eastAsia="宋体"/>
        </w:rPr>
        <w:t>B.3.1.1 女士站姿 上身正直， 头正目平， 挺胸收腹， 腰直肩平， 双手搭握， 稍向上提， 放于小腹前， 一脚跨出另一脚 的三分之一， 呈丁字步或 “V”字步， 不同场景下站姿手位不同。见图</w:t>
      </w:r>
      <w:r>
        <w:rPr>
          <w:rFonts w:hint="eastAsia" w:ascii="宋体" w:hAnsi="宋体" w:eastAsia="宋体"/>
        </w:rPr>
        <w:t>A.1。</w:t>
      </w:r>
      <w:bookmarkEnd w:id="174"/>
      <w:bookmarkEnd w:id="175"/>
    </w:p>
    <w:p>
      <w:pPr>
        <w:pStyle w:val="76"/>
        <w:numPr>
          <w:ilvl w:val="0"/>
          <w:numId w:val="0"/>
        </w:numPr>
        <w:spacing w:after="156"/>
      </w:pPr>
      <w:bookmarkStart w:id="176" w:name="_Toc167185182"/>
      <w:bookmarkStart w:id="177" w:name="_Toc167185093"/>
      <w:r>
        <w:rPr>
          <w:rFonts w:hint="eastAsia"/>
        </w:rPr>
        <w:drawing>
          <wp:inline distT="0" distB="0" distL="114300" distR="114300">
            <wp:extent cx="2380615" cy="3108960"/>
            <wp:effectExtent l="0" t="0" r="635" b="15240"/>
            <wp:docPr id="6" name="图片 6" descr="站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站姿"/>
                    <pic:cNvPicPr>
                      <a:picLocks noChangeAspect="1"/>
                    </pic:cNvPicPr>
                  </pic:nvPicPr>
                  <pic:blipFill>
                    <a:blip r:embed="rId15"/>
                    <a:srcRect t="21839"/>
                    <a:stretch>
                      <a:fillRect/>
                    </a:stretch>
                  </pic:blipFill>
                  <pic:spPr>
                    <a:xfrm>
                      <a:off x="0" y="0"/>
                      <a:ext cx="2380615" cy="3108960"/>
                    </a:xfrm>
                    <a:prstGeom prst="rect">
                      <a:avLst/>
                    </a:prstGeom>
                  </pic:spPr>
                </pic:pic>
              </a:graphicData>
            </a:graphic>
          </wp:inline>
        </w:drawing>
      </w:r>
      <w:bookmarkEnd w:id="176"/>
      <w:bookmarkEnd w:id="177"/>
    </w:p>
    <w:p>
      <w:pPr>
        <w:pStyle w:val="76"/>
        <w:numPr>
          <w:ilvl w:val="0"/>
          <w:numId w:val="0"/>
        </w:numPr>
        <w:spacing w:after="156"/>
        <w:rPr>
          <w:rFonts w:ascii="宋体" w:hAnsi="宋体" w:eastAsia="宋体"/>
        </w:rPr>
      </w:pPr>
      <w:bookmarkStart w:id="178" w:name="_Toc167185094"/>
      <w:bookmarkStart w:id="179" w:name="_Toc167185183"/>
      <w:r>
        <w:rPr>
          <w:rFonts w:hint="eastAsia" w:ascii="宋体" w:hAnsi="宋体" w:eastAsia="宋体"/>
        </w:rPr>
        <w:t>图</w:t>
      </w:r>
      <w:r>
        <w:rPr>
          <w:rFonts w:ascii="宋体" w:hAnsi="宋体" w:eastAsia="宋体"/>
        </w:rPr>
        <w:t>B</w:t>
      </w:r>
      <w:r>
        <w:rPr>
          <w:rFonts w:hint="eastAsia" w:ascii="宋体" w:hAnsi="宋体" w:eastAsia="宋体"/>
        </w:rPr>
        <w:t>.1会务服务人员站姿示意图</w:t>
      </w:r>
      <w:bookmarkEnd w:id="178"/>
      <w:bookmarkEnd w:id="179"/>
    </w:p>
    <w:p>
      <w:pPr>
        <w:pStyle w:val="76"/>
        <w:numPr>
          <w:ilvl w:val="0"/>
          <w:numId w:val="0"/>
        </w:numPr>
        <w:spacing w:before="0" w:after="0" w:afterLines="0"/>
        <w:jc w:val="left"/>
        <w:rPr>
          <w:rFonts w:ascii="宋体" w:hAnsi="宋体" w:eastAsia="宋体"/>
        </w:rPr>
      </w:pPr>
      <w:bookmarkStart w:id="180" w:name="_Toc167185184"/>
      <w:bookmarkStart w:id="181" w:name="_Toc167185095"/>
      <w:r>
        <w:rPr>
          <w:rFonts w:ascii="宋体" w:hAnsi="宋体" w:eastAsia="宋体"/>
        </w:rPr>
        <w:t>B.3.1.2 男士站姿 双眼平视前方， 余光关注四方， 肩膀自然打开平展， 收腹挺胸， 双臂自然下垂， 处于身体两侧， 脚尖打开45°～ 60°， 脚后跟并拢或打开， 打开时是一个脚掌的宽度， 不同场景下站姿手位不同。</w:t>
      </w:r>
      <w:bookmarkEnd w:id="180"/>
      <w:bookmarkEnd w:id="181"/>
      <w:r>
        <w:rPr>
          <w:rFonts w:ascii="宋体" w:hAnsi="宋体" w:eastAsia="宋体"/>
        </w:rPr>
        <w:t xml:space="preserve"> </w:t>
      </w:r>
    </w:p>
    <w:p>
      <w:pPr>
        <w:pStyle w:val="76"/>
        <w:numPr>
          <w:ilvl w:val="0"/>
          <w:numId w:val="0"/>
        </w:numPr>
        <w:spacing w:before="0" w:after="0" w:afterLines="0"/>
        <w:jc w:val="left"/>
        <w:rPr>
          <w:rFonts w:ascii="宋体" w:hAnsi="宋体" w:eastAsia="宋体"/>
        </w:rPr>
      </w:pPr>
      <w:bookmarkStart w:id="182" w:name="_Toc167185096"/>
      <w:bookmarkStart w:id="183" w:name="_Toc167185185"/>
      <w:r>
        <w:rPr>
          <w:rFonts w:ascii="宋体" w:hAnsi="宋体" w:eastAsia="宋体"/>
        </w:rPr>
        <w:t>B.3.2 行姿 身体重心应稍向前， 头朝正前方， 眼睛平视， 面带微笑； 上身正直不动， 两肩相平不摇， 两臂摆动 自然， 步幅适中、匀速， 步履轻盈。会务服务人员行姿可参见图B.2。</w:t>
      </w:r>
      <w:bookmarkEnd w:id="182"/>
      <w:bookmarkEnd w:id="183"/>
    </w:p>
    <w:p>
      <w:pPr>
        <w:pStyle w:val="76"/>
        <w:numPr>
          <w:ilvl w:val="0"/>
          <w:numId w:val="0"/>
        </w:numPr>
        <w:spacing w:after="156"/>
      </w:pPr>
      <w:bookmarkStart w:id="184" w:name="_Toc167185186"/>
      <w:bookmarkStart w:id="185" w:name="_Toc167185097"/>
      <w:r>
        <w:rPr>
          <w:rFonts w:hint="eastAsia"/>
        </w:rPr>
        <w:drawing>
          <wp:inline distT="0" distB="0" distL="114300" distR="114300">
            <wp:extent cx="3162300" cy="3162300"/>
            <wp:effectExtent l="0" t="0" r="0" b="0"/>
            <wp:docPr id="4" name="图片 4" descr="微信图片_20240520095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520095549"/>
                    <pic:cNvPicPr>
                      <a:picLocks noChangeAspect="1"/>
                    </pic:cNvPicPr>
                  </pic:nvPicPr>
                  <pic:blipFill>
                    <a:blip r:embed="rId16"/>
                    <a:stretch>
                      <a:fillRect/>
                    </a:stretch>
                  </pic:blipFill>
                  <pic:spPr>
                    <a:xfrm>
                      <a:off x="0" y="0"/>
                      <a:ext cx="3162300" cy="3162300"/>
                    </a:xfrm>
                    <a:prstGeom prst="rect">
                      <a:avLst/>
                    </a:prstGeom>
                  </pic:spPr>
                </pic:pic>
              </a:graphicData>
            </a:graphic>
          </wp:inline>
        </w:drawing>
      </w:r>
      <w:bookmarkEnd w:id="184"/>
      <w:bookmarkEnd w:id="185"/>
    </w:p>
    <w:p>
      <w:pPr>
        <w:pStyle w:val="76"/>
        <w:numPr>
          <w:ilvl w:val="0"/>
          <w:numId w:val="0"/>
        </w:numPr>
        <w:spacing w:before="0" w:after="0" w:afterLines="0"/>
        <w:rPr>
          <w:rFonts w:ascii="宋体" w:hAnsi="宋体" w:eastAsia="宋体"/>
        </w:rPr>
      </w:pPr>
      <w:bookmarkStart w:id="186" w:name="_Toc167185098"/>
      <w:bookmarkStart w:id="187" w:name="_Toc167185187"/>
      <w:r>
        <w:rPr>
          <w:rFonts w:ascii="宋体" w:hAnsi="宋体" w:eastAsia="宋体"/>
        </w:rPr>
        <w:t>图 B.2 会务服务人员行姿示意图</w:t>
      </w:r>
      <w:bookmarkEnd w:id="186"/>
      <w:bookmarkEnd w:id="187"/>
    </w:p>
    <w:p>
      <w:pPr>
        <w:pStyle w:val="76"/>
        <w:numPr>
          <w:ilvl w:val="0"/>
          <w:numId w:val="0"/>
        </w:numPr>
        <w:spacing w:before="0" w:after="0" w:afterLines="0"/>
        <w:jc w:val="left"/>
        <w:rPr>
          <w:rFonts w:ascii="宋体" w:hAnsi="宋体" w:eastAsia="宋体"/>
        </w:rPr>
      </w:pPr>
      <w:bookmarkStart w:id="188" w:name="_Toc167185099"/>
      <w:bookmarkStart w:id="189" w:name="_Toc167185188"/>
      <w:r>
        <w:rPr>
          <w:rFonts w:ascii="宋体" w:hAnsi="宋体" w:eastAsia="宋体"/>
        </w:rPr>
        <w:t>B.3.3 坐姿</w:t>
      </w:r>
      <w:bookmarkEnd w:id="188"/>
      <w:bookmarkEnd w:id="189"/>
      <w:r>
        <w:rPr>
          <w:rFonts w:ascii="宋体" w:hAnsi="宋体" w:eastAsia="宋体"/>
        </w:rPr>
        <w:t xml:space="preserve"> </w:t>
      </w:r>
    </w:p>
    <w:p>
      <w:pPr>
        <w:pStyle w:val="76"/>
        <w:numPr>
          <w:ilvl w:val="0"/>
          <w:numId w:val="0"/>
        </w:numPr>
        <w:spacing w:before="0" w:after="0" w:afterLines="0"/>
        <w:jc w:val="left"/>
        <w:rPr>
          <w:rFonts w:ascii="宋体" w:hAnsi="宋体" w:eastAsia="宋体"/>
        </w:rPr>
      </w:pPr>
      <w:bookmarkStart w:id="190" w:name="_Toc167185100"/>
      <w:bookmarkStart w:id="191" w:name="_Toc167185189"/>
      <w:r>
        <w:rPr>
          <w:rFonts w:ascii="宋体" w:hAnsi="宋体" w:eastAsia="宋体"/>
        </w:rPr>
        <w:t>B.3.3.1 女士坐姿 女士坐姿分正襟危坐式、前伸后曲式、双腿斜放式， 坐于椅子 1/3 处， 挺胸立腰收腹， 下颌微收， 双目平视， 肩平头正， 双手自然摆放在双腿上。会务服务人员坐姿可参见图B.3。</w:t>
      </w:r>
      <w:bookmarkEnd w:id="190"/>
      <w:bookmarkEnd w:id="191"/>
      <w:r>
        <w:rPr>
          <w:rFonts w:ascii="宋体" w:hAnsi="宋体" w:eastAsia="宋体"/>
        </w:rPr>
        <w:t xml:space="preserve"> </w:t>
      </w:r>
    </w:p>
    <w:p>
      <w:pPr>
        <w:pStyle w:val="76"/>
        <w:numPr>
          <w:ilvl w:val="0"/>
          <w:numId w:val="0"/>
        </w:numPr>
        <w:spacing w:before="0" w:after="0" w:afterLines="0"/>
        <w:jc w:val="left"/>
        <w:rPr>
          <w:rFonts w:ascii="宋体" w:hAnsi="宋体" w:eastAsia="宋体"/>
        </w:rPr>
      </w:pPr>
      <w:bookmarkStart w:id="192" w:name="_Toc167185101"/>
      <w:bookmarkStart w:id="193" w:name="_Toc167185190"/>
      <w:r>
        <w:rPr>
          <w:rFonts w:ascii="宋体" w:hAnsi="宋体" w:eastAsia="宋体"/>
        </w:rPr>
        <w:t>B.3.3.2 男士坐姿 上体挺直， 下颌微收， 双目平视， 两腿分开， 不超肩宽， 两脚平行， 两手分别放在双膝上。</w:t>
      </w:r>
      <w:bookmarkEnd w:id="192"/>
      <w:bookmarkEnd w:id="193"/>
    </w:p>
    <w:p>
      <w:pPr>
        <w:pStyle w:val="76"/>
        <w:numPr>
          <w:ilvl w:val="0"/>
          <w:numId w:val="0"/>
        </w:numPr>
        <w:spacing w:after="156"/>
      </w:pPr>
      <w:bookmarkStart w:id="194" w:name="_Toc167185102"/>
      <w:bookmarkStart w:id="195" w:name="_Toc167185191"/>
      <w:r>
        <w:rPr>
          <w:rFonts w:hint="eastAsia"/>
        </w:rPr>
        <w:drawing>
          <wp:inline distT="0" distB="0" distL="114300" distR="114300">
            <wp:extent cx="2390775" cy="3361690"/>
            <wp:effectExtent l="0" t="0" r="9525" b="10160"/>
            <wp:docPr id="7" name="图片 7" descr="微信图片_20240520100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40520100915"/>
                    <pic:cNvPicPr>
                      <a:picLocks noChangeAspect="1"/>
                    </pic:cNvPicPr>
                  </pic:nvPicPr>
                  <pic:blipFill>
                    <a:blip r:embed="rId17"/>
                    <a:stretch>
                      <a:fillRect/>
                    </a:stretch>
                  </pic:blipFill>
                  <pic:spPr>
                    <a:xfrm>
                      <a:off x="0" y="0"/>
                      <a:ext cx="2390775" cy="3361690"/>
                    </a:xfrm>
                    <a:prstGeom prst="rect">
                      <a:avLst/>
                    </a:prstGeom>
                  </pic:spPr>
                </pic:pic>
              </a:graphicData>
            </a:graphic>
          </wp:inline>
        </w:drawing>
      </w:r>
      <w:bookmarkEnd w:id="194"/>
      <w:bookmarkEnd w:id="195"/>
    </w:p>
    <w:p>
      <w:pPr>
        <w:pStyle w:val="76"/>
        <w:numPr>
          <w:ilvl w:val="0"/>
          <w:numId w:val="0"/>
        </w:numPr>
        <w:spacing w:before="0" w:after="0" w:afterLines="0"/>
        <w:rPr>
          <w:rFonts w:ascii="宋体" w:hAnsi="宋体" w:eastAsia="宋体"/>
        </w:rPr>
      </w:pPr>
      <w:bookmarkStart w:id="196" w:name="_Toc167185192"/>
      <w:bookmarkStart w:id="197" w:name="_Toc167185103"/>
      <w:r>
        <w:rPr>
          <w:rFonts w:ascii="宋体" w:hAnsi="宋体" w:eastAsia="宋体"/>
        </w:rPr>
        <w:t>图 B.3 会务服务人员坐姿示意图</w:t>
      </w:r>
      <w:bookmarkEnd w:id="196"/>
      <w:bookmarkEnd w:id="197"/>
    </w:p>
    <w:p>
      <w:pPr>
        <w:pStyle w:val="76"/>
        <w:numPr>
          <w:ilvl w:val="0"/>
          <w:numId w:val="0"/>
        </w:numPr>
        <w:spacing w:before="0" w:after="0" w:afterLines="0"/>
        <w:jc w:val="left"/>
        <w:rPr>
          <w:rFonts w:ascii="宋体" w:hAnsi="宋体" w:eastAsia="宋体"/>
        </w:rPr>
      </w:pPr>
      <w:bookmarkStart w:id="198" w:name="_Toc167185104"/>
      <w:bookmarkStart w:id="199" w:name="_Toc167185193"/>
      <w:r>
        <w:rPr>
          <w:rFonts w:ascii="宋体" w:hAnsi="宋体" w:eastAsia="宋体"/>
        </w:rPr>
        <w:t>B.3.4 蹲姿 左脚在前，右脚在后，左小腿垂直于地面， 右膝靠于左小腿内侧， 前脚掌着地， 屈膝蹲下形成左膝高右膝低的姿态， 上身挺直， 侧身捡物， 不应低头弓背。会务服务人员蹲姿可参见图B.4。</w:t>
      </w:r>
      <w:bookmarkEnd w:id="198"/>
      <w:bookmarkEnd w:id="199"/>
    </w:p>
    <w:p>
      <w:pPr>
        <w:pStyle w:val="76"/>
        <w:numPr>
          <w:ilvl w:val="0"/>
          <w:numId w:val="0"/>
        </w:numPr>
        <w:spacing w:after="156"/>
      </w:pPr>
      <w:bookmarkStart w:id="200" w:name="_Toc167185194"/>
      <w:bookmarkStart w:id="201" w:name="_Toc167185105"/>
      <w:r>
        <w:rPr>
          <w:rFonts w:hint="eastAsia"/>
        </w:rPr>
        <w:drawing>
          <wp:inline distT="0" distB="0" distL="114300" distR="114300">
            <wp:extent cx="2591435" cy="3641725"/>
            <wp:effectExtent l="0" t="0" r="18415" b="15875"/>
            <wp:docPr id="9" name="图片 9" descr="微信图片_2024052010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40520101916"/>
                    <pic:cNvPicPr>
                      <a:picLocks noChangeAspect="1"/>
                    </pic:cNvPicPr>
                  </pic:nvPicPr>
                  <pic:blipFill>
                    <a:blip r:embed="rId18"/>
                    <a:stretch>
                      <a:fillRect/>
                    </a:stretch>
                  </pic:blipFill>
                  <pic:spPr>
                    <a:xfrm>
                      <a:off x="0" y="0"/>
                      <a:ext cx="2591435" cy="3641725"/>
                    </a:xfrm>
                    <a:prstGeom prst="rect">
                      <a:avLst/>
                    </a:prstGeom>
                  </pic:spPr>
                </pic:pic>
              </a:graphicData>
            </a:graphic>
          </wp:inline>
        </w:drawing>
      </w:r>
      <w:bookmarkEnd w:id="200"/>
      <w:bookmarkEnd w:id="201"/>
    </w:p>
    <w:p>
      <w:pPr>
        <w:pStyle w:val="76"/>
        <w:numPr>
          <w:ilvl w:val="0"/>
          <w:numId w:val="0"/>
        </w:numPr>
        <w:spacing w:before="0" w:after="0" w:afterLines="0"/>
        <w:rPr>
          <w:rFonts w:ascii="宋体" w:hAnsi="宋体" w:eastAsia="宋体"/>
        </w:rPr>
      </w:pPr>
      <w:bookmarkStart w:id="202" w:name="_Toc167185106"/>
      <w:bookmarkStart w:id="203" w:name="_Toc167185195"/>
      <w:r>
        <w:rPr>
          <w:rFonts w:ascii="宋体" w:hAnsi="宋体" w:eastAsia="宋体"/>
        </w:rPr>
        <w:t>图 B.4 会务服务人员蹲姿示意图</w:t>
      </w:r>
      <w:bookmarkEnd w:id="202"/>
      <w:bookmarkEnd w:id="203"/>
    </w:p>
    <w:p>
      <w:pPr>
        <w:pStyle w:val="76"/>
        <w:numPr>
          <w:ilvl w:val="0"/>
          <w:numId w:val="0"/>
        </w:numPr>
        <w:spacing w:before="0" w:after="0" w:afterLines="0"/>
        <w:jc w:val="left"/>
        <w:rPr>
          <w:rFonts w:ascii="宋体" w:hAnsi="宋体" w:eastAsia="宋体"/>
        </w:rPr>
      </w:pPr>
      <w:bookmarkStart w:id="204" w:name="_Toc167185107"/>
      <w:bookmarkStart w:id="205" w:name="_Toc167185196"/>
      <w:r>
        <w:rPr>
          <w:rFonts w:ascii="宋体" w:hAnsi="宋体" w:eastAsia="宋体"/>
        </w:rPr>
        <w:t>B.3.5 鞠躬</w:t>
      </w:r>
      <w:bookmarkEnd w:id="204"/>
      <w:bookmarkEnd w:id="205"/>
      <w:r>
        <w:rPr>
          <w:rFonts w:ascii="宋体" w:hAnsi="宋体" w:eastAsia="宋体"/>
        </w:rPr>
        <w:t xml:space="preserve"> </w:t>
      </w:r>
    </w:p>
    <w:p>
      <w:pPr>
        <w:pStyle w:val="76"/>
        <w:numPr>
          <w:ilvl w:val="0"/>
          <w:numId w:val="0"/>
        </w:numPr>
        <w:spacing w:before="0" w:after="0" w:afterLines="0"/>
        <w:jc w:val="left"/>
        <w:rPr>
          <w:rFonts w:ascii="宋体" w:hAnsi="宋体" w:eastAsia="宋体"/>
        </w:rPr>
      </w:pPr>
      <w:bookmarkStart w:id="206" w:name="_Toc167185108"/>
      <w:bookmarkStart w:id="207" w:name="_Toc167185197"/>
      <w:r>
        <w:rPr>
          <w:rFonts w:ascii="宋体" w:hAnsi="宋体" w:eastAsia="宋体"/>
        </w:rPr>
        <w:t>B.3.5.1 招呼礼，头点致意。</w:t>
      </w:r>
      <w:bookmarkEnd w:id="206"/>
      <w:bookmarkEnd w:id="207"/>
    </w:p>
    <w:p>
      <w:pPr>
        <w:pStyle w:val="76"/>
        <w:numPr>
          <w:ilvl w:val="0"/>
          <w:numId w:val="0"/>
        </w:numPr>
        <w:spacing w:before="0" w:after="0" w:afterLines="0"/>
        <w:jc w:val="left"/>
        <w:rPr>
          <w:rFonts w:ascii="宋体" w:hAnsi="宋体" w:eastAsia="宋体"/>
        </w:rPr>
      </w:pPr>
      <w:bookmarkStart w:id="208" w:name="_Toc167185109"/>
      <w:bookmarkStart w:id="209" w:name="_Toc167185198"/>
      <w:r>
        <w:rPr>
          <w:rFonts w:ascii="宋体" w:hAnsi="宋体" w:eastAsia="宋体"/>
        </w:rPr>
        <w:t>B.3.5.2 感谢礼，上身向下倾斜角度为 15°或 30°，目视对方脚面。会务服务人员感谢礼可参见图 B.5。</w:t>
      </w:r>
      <w:bookmarkEnd w:id="208"/>
      <w:bookmarkEnd w:id="209"/>
      <w:r>
        <w:rPr>
          <w:rFonts w:ascii="宋体" w:hAnsi="宋体" w:eastAsia="宋体"/>
        </w:rPr>
        <w:t xml:space="preserve"> </w:t>
      </w:r>
    </w:p>
    <w:p>
      <w:pPr>
        <w:pStyle w:val="76"/>
        <w:numPr>
          <w:ilvl w:val="0"/>
          <w:numId w:val="0"/>
        </w:numPr>
        <w:spacing w:after="156"/>
      </w:pPr>
      <w:bookmarkStart w:id="210" w:name="_Toc167185199"/>
      <w:bookmarkStart w:id="211" w:name="_Toc167185110"/>
      <w:r>
        <w:rPr>
          <w:rFonts w:hint="eastAsia"/>
        </w:rPr>
        <w:drawing>
          <wp:inline distT="0" distB="0" distL="114300" distR="114300">
            <wp:extent cx="2590800" cy="3763645"/>
            <wp:effectExtent l="0" t="0" r="0" b="8255"/>
            <wp:docPr id="12" name="图片 12" descr="微信图片_2024052010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40520102743"/>
                    <pic:cNvPicPr>
                      <a:picLocks noChangeAspect="1"/>
                    </pic:cNvPicPr>
                  </pic:nvPicPr>
                  <pic:blipFill>
                    <a:blip r:embed="rId19"/>
                    <a:stretch>
                      <a:fillRect/>
                    </a:stretch>
                  </pic:blipFill>
                  <pic:spPr>
                    <a:xfrm>
                      <a:off x="0" y="0"/>
                      <a:ext cx="2590800" cy="3763645"/>
                    </a:xfrm>
                    <a:prstGeom prst="rect">
                      <a:avLst/>
                    </a:prstGeom>
                  </pic:spPr>
                </pic:pic>
              </a:graphicData>
            </a:graphic>
          </wp:inline>
        </w:drawing>
      </w:r>
      <w:bookmarkEnd w:id="210"/>
      <w:bookmarkEnd w:id="211"/>
    </w:p>
    <w:p>
      <w:pPr>
        <w:pStyle w:val="76"/>
        <w:numPr>
          <w:ilvl w:val="0"/>
          <w:numId w:val="0"/>
        </w:numPr>
        <w:spacing w:after="156"/>
        <w:rPr>
          <w:rFonts w:ascii="宋体" w:hAnsi="宋体" w:eastAsia="宋体"/>
        </w:rPr>
      </w:pPr>
      <w:bookmarkStart w:id="212" w:name="_Toc167185200"/>
      <w:bookmarkStart w:id="213" w:name="_Toc167185111"/>
      <w:r>
        <w:rPr>
          <w:rFonts w:ascii="宋体" w:hAnsi="宋体" w:eastAsia="宋体"/>
        </w:rPr>
        <w:t>图 B.5 会务服务人员感谢礼示意图</w:t>
      </w:r>
      <w:bookmarkEnd w:id="212"/>
      <w:bookmarkEnd w:id="213"/>
    </w:p>
    <w:p>
      <w:pPr>
        <w:pStyle w:val="76"/>
        <w:numPr>
          <w:ilvl w:val="0"/>
          <w:numId w:val="0"/>
        </w:numPr>
        <w:spacing w:after="156"/>
      </w:pPr>
      <w:bookmarkStart w:id="214" w:name="_Toc167185112"/>
      <w:bookmarkStart w:id="215" w:name="_Toc167185201"/>
      <w:r>
        <w:rPr>
          <w:rFonts w:ascii="宋体" w:hAnsi="宋体" w:eastAsia="宋体"/>
        </w:rPr>
        <w:t>B.3.5.3 道歉礼，上身倾斜角度为 90°，目视脚面。服务人员道歉礼可参见B.6。</w:t>
      </w:r>
      <w:bookmarkEnd w:id="214"/>
      <w:bookmarkEnd w:id="215"/>
      <w:r>
        <w:t xml:space="preserve"> </w:t>
      </w:r>
    </w:p>
    <w:p>
      <w:pPr>
        <w:pStyle w:val="76"/>
        <w:numPr>
          <w:ilvl w:val="0"/>
          <w:numId w:val="0"/>
        </w:numPr>
        <w:spacing w:after="156"/>
      </w:pPr>
      <w:bookmarkStart w:id="216" w:name="_Toc167185113"/>
      <w:bookmarkStart w:id="217" w:name="_Toc167185202"/>
      <w:r>
        <w:rPr>
          <w:rFonts w:hint="eastAsia"/>
        </w:rPr>
        <w:drawing>
          <wp:inline distT="0" distB="0" distL="114300" distR="114300">
            <wp:extent cx="2598420" cy="3215005"/>
            <wp:effectExtent l="0" t="0" r="11430" b="4445"/>
            <wp:docPr id="14" name="图片 14" descr="微信图片_20240520103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40520103342"/>
                    <pic:cNvPicPr>
                      <a:picLocks noChangeAspect="1"/>
                    </pic:cNvPicPr>
                  </pic:nvPicPr>
                  <pic:blipFill>
                    <a:blip r:embed="rId20"/>
                    <a:stretch>
                      <a:fillRect/>
                    </a:stretch>
                  </pic:blipFill>
                  <pic:spPr>
                    <a:xfrm>
                      <a:off x="0" y="0"/>
                      <a:ext cx="2598420" cy="3215005"/>
                    </a:xfrm>
                    <a:prstGeom prst="rect">
                      <a:avLst/>
                    </a:prstGeom>
                  </pic:spPr>
                </pic:pic>
              </a:graphicData>
            </a:graphic>
          </wp:inline>
        </w:drawing>
      </w:r>
      <w:bookmarkEnd w:id="216"/>
      <w:bookmarkEnd w:id="217"/>
    </w:p>
    <w:p>
      <w:pPr>
        <w:pStyle w:val="76"/>
        <w:numPr>
          <w:ilvl w:val="0"/>
          <w:numId w:val="0"/>
        </w:numPr>
        <w:spacing w:before="0" w:after="0" w:afterLines="0"/>
        <w:rPr>
          <w:rFonts w:ascii="宋体" w:hAnsi="宋体" w:eastAsia="宋体"/>
        </w:rPr>
      </w:pPr>
      <w:bookmarkStart w:id="218" w:name="_Toc167185203"/>
      <w:bookmarkStart w:id="219" w:name="_Toc167185114"/>
      <w:r>
        <w:rPr>
          <w:rFonts w:ascii="宋体" w:hAnsi="宋体" w:eastAsia="宋体"/>
        </w:rPr>
        <w:t>图 B.6 会务服务人员道歉礼示意图</w:t>
      </w:r>
      <w:bookmarkEnd w:id="218"/>
      <w:bookmarkEnd w:id="219"/>
    </w:p>
    <w:p>
      <w:pPr>
        <w:pStyle w:val="76"/>
        <w:numPr>
          <w:ilvl w:val="0"/>
          <w:numId w:val="0"/>
        </w:numPr>
        <w:spacing w:before="0" w:after="0" w:afterLines="0"/>
        <w:jc w:val="left"/>
        <w:rPr>
          <w:rFonts w:ascii="宋体" w:hAnsi="宋体" w:eastAsia="宋体"/>
        </w:rPr>
      </w:pPr>
      <w:bookmarkStart w:id="220" w:name="_Toc167185115"/>
      <w:bookmarkStart w:id="221" w:name="_Toc167185204"/>
      <w:r>
        <w:rPr>
          <w:rFonts w:ascii="宋体" w:hAnsi="宋体" w:eastAsia="宋体"/>
        </w:rPr>
        <w:t>B.3.6 导引</w:t>
      </w:r>
      <w:bookmarkEnd w:id="220"/>
      <w:bookmarkEnd w:id="221"/>
      <w:r>
        <w:rPr>
          <w:rFonts w:ascii="宋体" w:hAnsi="宋体" w:eastAsia="宋体"/>
        </w:rPr>
        <w:t xml:space="preserve"> </w:t>
      </w:r>
    </w:p>
    <w:p>
      <w:pPr>
        <w:pStyle w:val="76"/>
        <w:numPr>
          <w:ilvl w:val="0"/>
          <w:numId w:val="0"/>
        </w:numPr>
        <w:spacing w:before="0" w:after="0" w:afterLines="0"/>
        <w:jc w:val="left"/>
        <w:rPr>
          <w:rFonts w:ascii="宋体" w:hAnsi="宋体" w:eastAsia="宋体"/>
        </w:rPr>
      </w:pPr>
      <w:bookmarkStart w:id="222" w:name="_Toc167185205"/>
      <w:bookmarkStart w:id="223" w:name="_Toc167185116"/>
      <w:r>
        <w:rPr>
          <w:rFonts w:ascii="宋体" w:hAnsi="宋体" w:eastAsia="宋体"/>
        </w:rPr>
        <w:t>B.3.6.1 为</w:t>
      </w:r>
      <w:r>
        <w:rPr>
          <w:rFonts w:hint="eastAsia" w:ascii="宋体" w:hAnsi="宋体" w:eastAsia="宋体"/>
        </w:rPr>
        <w:t>参会人员</w:t>
      </w:r>
      <w:r>
        <w:rPr>
          <w:rFonts w:ascii="宋体" w:hAnsi="宋体" w:eastAsia="宋体"/>
        </w:rPr>
        <w:t xml:space="preserve">导引时， </w:t>
      </w:r>
      <w:r>
        <w:rPr>
          <w:rFonts w:hint="eastAsia" w:ascii="宋体" w:hAnsi="宋体" w:eastAsia="宋体"/>
        </w:rPr>
        <w:t>站在参会人员左侧前方</w:t>
      </w:r>
      <w:r>
        <w:rPr>
          <w:rFonts w:ascii="宋体" w:hAnsi="宋体" w:eastAsia="宋体"/>
        </w:rPr>
        <w:t>距离保持 1.5 m</w:t>
      </w:r>
      <w:r>
        <w:rPr>
          <w:rFonts w:hint="eastAsia" w:ascii="宋体" w:hAnsi="宋体" w:eastAsia="宋体"/>
        </w:rPr>
        <w:t>，</w:t>
      </w:r>
      <w:r>
        <w:rPr>
          <w:rFonts w:ascii="宋体" w:hAnsi="宋体" w:eastAsia="宋体"/>
        </w:rPr>
        <w:t xml:space="preserve">服务人员引导手臂抬起， 大臂与身体夹角为 45°， 四指并拢， </w:t>
      </w:r>
      <w:r>
        <w:rPr>
          <w:rFonts w:hint="eastAsia" w:ascii="宋体" w:hAnsi="宋体" w:eastAsia="宋体"/>
        </w:rPr>
        <w:t>呈指引手势</w:t>
      </w:r>
      <w:r>
        <w:rPr>
          <w:rFonts w:ascii="宋体" w:hAnsi="宋体" w:eastAsia="宋体"/>
        </w:rPr>
        <w:t>。</w:t>
      </w:r>
      <w:bookmarkEnd w:id="222"/>
      <w:bookmarkEnd w:id="223"/>
      <w:r>
        <w:rPr>
          <w:rFonts w:ascii="宋体" w:hAnsi="宋体" w:eastAsia="宋体"/>
        </w:rPr>
        <w:t xml:space="preserve"> </w:t>
      </w:r>
    </w:p>
    <w:p>
      <w:pPr>
        <w:pStyle w:val="76"/>
        <w:numPr>
          <w:ilvl w:val="0"/>
          <w:numId w:val="0"/>
        </w:numPr>
        <w:spacing w:before="0" w:after="0" w:afterLines="0"/>
        <w:jc w:val="left"/>
        <w:rPr>
          <w:rFonts w:ascii="宋体" w:hAnsi="宋体" w:eastAsia="宋体"/>
        </w:rPr>
      </w:pPr>
      <w:bookmarkStart w:id="224" w:name="_Toc167185206"/>
      <w:bookmarkStart w:id="225" w:name="_Toc167185117"/>
      <w:r>
        <w:rPr>
          <w:rFonts w:ascii="宋体" w:hAnsi="宋体" w:eastAsia="宋体"/>
        </w:rPr>
        <w:t>B.3.6.2 遇拐弯或台阶处， 应回头向</w:t>
      </w:r>
      <w:r>
        <w:rPr>
          <w:rFonts w:hint="eastAsia" w:ascii="宋体" w:hAnsi="宋体" w:eastAsia="宋体"/>
        </w:rPr>
        <w:t>参会人员</w:t>
      </w:r>
      <w:r>
        <w:rPr>
          <w:rFonts w:ascii="宋体" w:hAnsi="宋体" w:eastAsia="宋体"/>
        </w:rPr>
        <w:t>示意说“请当心”。</w:t>
      </w:r>
      <w:bookmarkEnd w:id="224"/>
      <w:bookmarkEnd w:id="225"/>
      <w:r>
        <w:rPr>
          <w:rFonts w:ascii="宋体" w:hAnsi="宋体" w:eastAsia="宋体"/>
        </w:rPr>
        <w:t xml:space="preserve"> </w:t>
      </w:r>
    </w:p>
    <w:p>
      <w:pPr>
        <w:pStyle w:val="76"/>
        <w:numPr>
          <w:ilvl w:val="0"/>
          <w:numId w:val="0"/>
        </w:numPr>
        <w:spacing w:before="0" w:after="0" w:afterLines="0"/>
        <w:jc w:val="left"/>
        <w:rPr>
          <w:rFonts w:ascii="宋体" w:hAnsi="宋体" w:eastAsia="宋体"/>
        </w:rPr>
      </w:pPr>
      <w:bookmarkStart w:id="226" w:name="_Toc167185118"/>
      <w:bookmarkStart w:id="227" w:name="_Toc167185207"/>
      <w:r>
        <w:rPr>
          <w:rFonts w:ascii="宋体" w:hAnsi="宋体" w:eastAsia="宋体"/>
        </w:rPr>
        <w:t>B.3.6.3 引领</w:t>
      </w:r>
      <w:r>
        <w:rPr>
          <w:rFonts w:hint="eastAsia" w:ascii="宋体" w:hAnsi="宋体" w:eastAsia="宋体"/>
        </w:rPr>
        <w:t>参会人员</w:t>
      </w:r>
      <w:r>
        <w:rPr>
          <w:rFonts w:ascii="宋体" w:hAnsi="宋体" w:eastAsia="宋体"/>
        </w:rPr>
        <w:t>时， 宜用“有请”、“恭请”等礼貌用语， 注意语调低缓轻柔。</w:t>
      </w:r>
      <w:bookmarkEnd w:id="226"/>
      <w:bookmarkEnd w:id="227"/>
      <w:r>
        <w:rPr>
          <w:rFonts w:ascii="宋体" w:hAnsi="宋体" w:eastAsia="宋体"/>
        </w:rPr>
        <w:t xml:space="preserve"> </w:t>
      </w:r>
    </w:p>
    <w:p>
      <w:pPr>
        <w:pStyle w:val="76"/>
        <w:numPr>
          <w:ilvl w:val="0"/>
          <w:numId w:val="0"/>
        </w:numPr>
        <w:spacing w:before="0" w:after="0" w:afterLines="0"/>
        <w:jc w:val="left"/>
        <w:rPr>
          <w:rFonts w:ascii="宋体" w:hAnsi="宋体" w:eastAsia="宋体"/>
        </w:rPr>
      </w:pPr>
      <w:bookmarkStart w:id="228" w:name="_Toc167185119"/>
      <w:bookmarkStart w:id="229" w:name="_Toc167185208"/>
      <w:r>
        <w:rPr>
          <w:rFonts w:ascii="宋体" w:hAnsi="宋体" w:eastAsia="宋体"/>
        </w:rPr>
        <w:t>B.3.6.4 为</w:t>
      </w:r>
      <w:r>
        <w:rPr>
          <w:rFonts w:hint="eastAsia" w:ascii="宋体" w:hAnsi="宋体" w:eastAsia="宋体"/>
        </w:rPr>
        <w:t>参会人员</w:t>
      </w:r>
      <w:r>
        <w:rPr>
          <w:rFonts w:ascii="宋体" w:hAnsi="宋体" w:eastAsia="宋体"/>
        </w:rPr>
        <w:t>送行时， 应在</w:t>
      </w:r>
      <w:r>
        <w:rPr>
          <w:rFonts w:hint="eastAsia" w:ascii="宋体" w:hAnsi="宋体" w:eastAsia="宋体"/>
        </w:rPr>
        <w:t>参会人员</w:t>
      </w:r>
      <w:r>
        <w:rPr>
          <w:rFonts w:ascii="宋体" w:hAnsi="宋体" w:eastAsia="宋体"/>
        </w:rPr>
        <w:t>的后方， 距离约半步。服务人员导引示意图可参见图 B.7。</w:t>
      </w:r>
      <w:bookmarkEnd w:id="228"/>
      <w:bookmarkEnd w:id="229"/>
    </w:p>
    <w:p>
      <w:pPr>
        <w:pStyle w:val="76"/>
        <w:numPr>
          <w:ilvl w:val="0"/>
          <w:numId w:val="0"/>
        </w:numPr>
        <w:spacing w:after="156"/>
      </w:pPr>
      <w:bookmarkStart w:id="230" w:name="_Toc167185120"/>
      <w:bookmarkStart w:id="231" w:name="_Toc167185209"/>
      <w:r>
        <w:rPr>
          <w:rFonts w:hint="eastAsia"/>
        </w:rPr>
        <w:drawing>
          <wp:inline distT="0" distB="0" distL="114300" distR="114300">
            <wp:extent cx="2633345" cy="3542665"/>
            <wp:effectExtent l="0" t="0" r="14605" b="635"/>
            <wp:docPr id="16" name="图片 16" descr="微信图片_20240520103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图片_20240520103915"/>
                    <pic:cNvPicPr>
                      <a:picLocks noChangeAspect="1"/>
                    </pic:cNvPicPr>
                  </pic:nvPicPr>
                  <pic:blipFill>
                    <a:blip r:embed="rId21"/>
                    <a:stretch>
                      <a:fillRect/>
                    </a:stretch>
                  </pic:blipFill>
                  <pic:spPr>
                    <a:xfrm>
                      <a:off x="0" y="0"/>
                      <a:ext cx="2633345" cy="3542665"/>
                    </a:xfrm>
                    <a:prstGeom prst="rect">
                      <a:avLst/>
                    </a:prstGeom>
                  </pic:spPr>
                </pic:pic>
              </a:graphicData>
            </a:graphic>
          </wp:inline>
        </w:drawing>
      </w:r>
      <w:bookmarkEnd w:id="230"/>
      <w:bookmarkEnd w:id="231"/>
    </w:p>
    <w:p>
      <w:pPr>
        <w:pStyle w:val="76"/>
        <w:numPr>
          <w:ilvl w:val="0"/>
          <w:numId w:val="0"/>
        </w:numPr>
        <w:spacing w:after="156"/>
        <w:rPr>
          <w:rFonts w:ascii="宋体" w:hAnsi="宋体" w:eastAsia="宋体"/>
        </w:rPr>
      </w:pPr>
      <w:bookmarkStart w:id="232" w:name="_Toc167185210"/>
      <w:bookmarkStart w:id="233" w:name="_Toc167185121"/>
      <w:r>
        <w:rPr>
          <w:rFonts w:ascii="宋体" w:hAnsi="宋体" w:eastAsia="宋体"/>
        </w:rPr>
        <w:t>图 B.7 会务服务人员导引示意图</w:t>
      </w:r>
      <w:bookmarkEnd w:id="232"/>
      <w:bookmarkEnd w:id="233"/>
    </w:p>
    <w:p>
      <w:pPr>
        <w:pStyle w:val="76"/>
        <w:numPr>
          <w:ilvl w:val="0"/>
          <w:numId w:val="0"/>
        </w:numPr>
        <w:spacing w:before="0" w:after="0" w:afterLines="0"/>
        <w:jc w:val="left"/>
        <w:rPr>
          <w:rFonts w:ascii="宋体" w:hAnsi="宋体" w:eastAsia="宋体"/>
        </w:rPr>
      </w:pPr>
      <w:bookmarkStart w:id="234" w:name="_Toc167185211"/>
      <w:bookmarkStart w:id="235" w:name="_Toc167185122"/>
      <w:r>
        <w:rPr>
          <w:rFonts w:ascii="宋体" w:hAnsi="宋体" w:eastAsia="宋体"/>
        </w:rPr>
        <w:t>B.3.7 笑容 面部保持自然亲切的微笑。</w:t>
      </w:r>
      <w:bookmarkEnd w:id="234"/>
      <w:bookmarkEnd w:id="235"/>
      <w:r>
        <w:rPr>
          <w:rFonts w:ascii="宋体" w:hAnsi="宋体" w:eastAsia="宋体"/>
        </w:rPr>
        <w:t xml:space="preserve"> </w:t>
      </w:r>
    </w:p>
    <w:p>
      <w:pPr>
        <w:pStyle w:val="76"/>
        <w:numPr>
          <w:ilvl w:val="0"/>
          <w:numId w:val="0"/>
        </w:numPr>
        <w:spacing w:before="0" w:after="0" w:afterLines="0"/>
        <w:jc w:val="left"/>
        <w:rPr>
          <w:rFonts w:ascii="宋体" w:hAnsi="宋体" w:eastAsia="宋体"/>
        </w:rPr>
      </w:pPr>
      <w:bookmarkStart w:id="236" w:name="_Toc167185123"/>
      <w:bookmarkStart w:id="237" w:name="_Toc167185212"/>
      <w:r>
        <w:rPr>
          <w:rFonts w:ascii="宋体" w:hAnsi="宋体" w:eastAsia="宋体"/>
        </w:rPr>
        <w:t>B.3.8 规范用语</w:t>
      </w:r>
      <w:bookmarkEnd w:id="236"/>
      <w:bookmarkEnd w:id="237"/>
      <w:r>
        <w:rPr>
          <w:rFonts w:ascii="宋体" w:hAnsi="宋体" w:eastAsia="宋体"/>
        </w:rPr>
        <w:t xml:space="preserve"> </w:t>
      </w:r>
    </w:p>
    <w:p>
      <w:pPr>
        <w:pStyle w:val="76"/>
        <w:numPr>
          <w:ilvl w:val="0"/>
          <w:numId w:val="0"/>
        </w:numPr>
        <w:spacing w:before="0" w:after="0" w:afterLines="0"/>
        <w:jc w:val="left"/>
        <w:rPr>
          <w:rFonts w:ascii="宋体" w:hAnsi="宋体" w:eastAsia="宋体"/>
        </w:rPr>
      </w:pPr>
      <w:bookmarkStart w:id="238" w:name="_Toc167185213"/>
      <w:bookmarkStart w:id="239" w:name="_Toc167185124"/>
      <w:r>
        <w:rPr>
          <w:rFonts w:ascii="宋体" w:hAnsi="宋体" w:eastAsia="宋体"/>
        </w:rPr>
        <w:t>B</w:t>
      </w:r>
      <w:r>
        <w:rPr>
          <w:rFonts w:hint="eastAsia" w:ascii="宋体" w:hAnsi="宋体" w:eastAsia="宋体"/>
        </w:rPr>
        <w:t>.3.8.1</w:t>
      </w:r>
      <w:r>
        <w:rPr>
          <w:rFonts w:ascii="宋体" w:hAnsi="宋体" w:eastAsia="宋体"/>
        </w:rPr>
        <w:t>使用规范用语“您好、再见、请慢走、对不起、抱歉、请原谅、谢谢、非常感谢、不客气、没关系、 请问您需要什么”等</w:t>
      </w:r>
      <w:bookmarkEnd w:id="238"/>
      <w:bookmarkEnd w:id="239"/>
    </w:p>
    <w:p>
      <w:pPr>
        <w:pStyle w:val="76"/>
        <w:numPr>
          <w:ilvl w:val="0"/>
          <w:numId w:val="0"/>
        </w:numPr>
        <w:spacing w:after="156"/>
      </w:pPr>
    </w:p>
    <w:p>
      <w:pPr>
        <w:pStyle w:val="56"/>
        <w:ind w:firstLine="420"/>
      </w:pPr>
    </w:p>
    <w:p>
      <w:pPr>
        <w:pStyle w:val="56"/>
        <w:ind w:firstLine="420"/>
      </w:pPr>
    </w:p>
    <w:p>
      <w:pPr>
        <w:pStyle w:val="56"/>
        <w:ind w:firstLine="420"/>
      </w:pPr>
    </w:p>
    <w:p>
      <w:pPr>
        <w:pStyle w:val="56"/>
        <w:ind w:firstLine="420"/>
      </w:pPr>
    </w:p>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after="156"/>
      </w:pPr>
      <w:r>
        <w:br w:type="textWrapping"/>
      </w:r>
      <w:bookmarkStart w:id="240" w:name="_Toc167185214"/>
      <w:bookmarkStart w:id="241" w:name="_Toc167185125"/>
      <w:r>
        <w:rPr>
          <w:rFonts w:hint="eastAsia"/>
        </w:rPr>
        <w:t>（资料性）</w:t>
      </w:r>
      <w:r>
        <w:br w:type="textWrapping"/>
      </w:r>
      <w:r>
        <w:rPr>
          <w:rFonts w:hint="eastAsia"/>
        </w:rPr>
        <w:t>会议预订表</w:t>
      </w:r>
      <w:bookmarkEnd w:id="240"/>
      <w:bookmarkEnd w:id="241"/>
    </w:p>
    <w:p>
      <w:pPr>
        <w:pStyle w:val="76"/>
        <w:numPr>
          <w:ilvl w:val="0"/>
          <w:numId w:val="0"/>
        </w:numPr>
        <w:spacing w:after="156"/>
        <w:jc w:val="left"/>
      </w:pPr>
      <w:bookmarkStart w:id="242" w:name="_Toc167185215"/>
      <w:bookmarkStart w:id="243" w:name="_Toc167185126"/>
      <w:r>
        <w:rPr>
          <w:rFonts w:hint="eastAsia"/>
        </w:rPr>
        <w:t>预订单位（盖章）：</w:t>
      </w:r>
      <w:bookmarkEnd w:id="242"/>
      <w:bookmarkEnd w:id="243"/>
    </w:p>
    <w:tbl>
      <w:tblPr>
        <w:tblStyle w:val="27"/>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2786"/>
        <w:gridCol w:w="2230"/>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460" w:type="dxa"/>
            <w:gridSpan w:val="2"/>
          </w:tcPr>
          <w:p>
            <w:pPr>
              <w:ind w:left="1890" w:hanging="1890" w:hangingChars="900"/>
              <w:rPr>
                <w:rFonts w:ascii="宋体" w:hAnsi="宋体"/>
              </w:rPr>
            </w:pPr>
            <w:r>
              <w:rPr>
                <w:rFonts w:hint="eastAsia" w:ascii="宋体" w:hAnsi="宋体"/>
              </w:rPr>
              <w:t>会议时间：  年  月  日   时  分</w:t>
            </w:r>
          </w:p>
        </w:tc>
        <w:tc>
          <w:tcPr>
            <w:tcW w:w="4460" w:type="dxa"/>
            <w:gridSpan w:val="2"/>
          </w:tcPr>
          <w:p>
            <w:pPr>
              <w:rPr>
                <w:rFonts w:ascii="宋体" w:hAnsi="宋体"/>
              </w:rPr>
            </w:pPr>
            <w:r>
              <w:rPr>
                <w:rFonts w:hint="eastAsia" w:ascii="宋体" w:hAnsi="宋体"/>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20" w:type="dxa"/>
            <w:gridSpan w:val="4"/>
          </w:tcPr>
          <w:p>
            <w:pPr>
              <w:rPr>
                <w:rFonts w:ascii="宋体" w:hAnsi="宋体"/>
              </w:rPr>
            </w:pPr>
            <w:r>
              <w:rPr>
                <w:rFonts w:hint="eastAsia" w:ascii="宋体" w:hAnsi="宋体"/>
              </w:rPr>
              <w:t>会议名称：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920" w:type="dxa"/>
            <w:gridSpan w:val="4"/>
          </w:tcPr>
          <w:p>
            <w:pPr>
              <w:rPr>
                <w:rFonts w:ascii="宋体" w:hAnsi="宋体"/>
              </w:rPr>
            </w:pPr>
            <w:r>
              <w:rPr>
                <w:rFonts w:hint="eastAsia" w:ascii="宋体" w:hAnsi="宋体"/>
              </w:rPr>
              <w:t>会议类型：工作会   座谈会   报告会   视频会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920" w:type="dxa"/>
            <w:gridSpan w:val="4"/>
          </w:tcPr>
          <w:p>
            <w:pPr>
              <w:rPr>
                <w:rFonts w:ascii="宋体" w:hAnsi="宋体"/>
              </w:rPr>
            </w:pPr>
            <w:r>
              <w:rPr>
                <w:rFonts w:hint="eastAsia" w:ascii="宋体" w:hAnsi="宋体"/>
              </w:rPr>
              <w:t xml:space="preserve">参会人数：    人；    其中：主席台     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920" w:type="dxa"/>
            <w:gridSpan w:val="4"/>
          </w:tcPr>
          <w:p>
            <w:pPr>
              <w:rPr>
                <w:rFonts w:ascii="宋体" w:hAnsi="宋体"/>
              </w:rPr>
            </w:pPr>
            <w:r>
              <w:rPr>
                <w:rFonts w:hint="eastAsia" w:ascii="宋体" w:hAnsi="宋体"/>
              </w:rPr>
              <w:t>所需服务事项：</w:t>
            </w:r>
          </w:p>
          <w:p>
            <w:pPr>
              <w:rPr>
                <w:rFonts w:ascii="宋体" w:hAnsi="宋体"/>
              </w:rPr>
            </w:pPr>
            <w:r>
              <w:rPr>
                <w:rFonts w:hint="eastAsia" w:ascii="宋体" w:hAnsi="宋体"/>
              </w:rPr>
              <w:t xml:space="preserve">电子屏     会  标     坐席牌      茶        矿泉水      </w:t>
            </w:r>
          </w:p>
          <w:p>
            <w:pPr>
              <w:rPr>
                <w:rFonts w:ascii="宋体" w:hAnsi="宋体"/>
              </w:rPr>
            </w:pPr>
            <w:r>
              <w:rPr>
                <w:rFonts w:hint="eastAsia" w:ascii="宋体" w:hAnsi="宋体"/>
              </w:rPr>
              <w:t>毛  巾     报告台     投影仪      签到台    礼仪人员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920" w:type="dxa"/>
            <w:gridSpan w:val="4"/>
          </w:tcPr>
          <w:p>
            <w:pPr>
              <w:rPr>
                <w:rFonts w:ascii="宋体" w:hAnsi="宋体"/>
              </w:rPr>
            </w:pPr>
            <w:r>
              <w:rPr>
                <w:rFonts w:hint="eastAsia" w:ascii="宋体" w:hAnsi="宋体"/>
              </w:rPr>
              <w:t xml:space="preserve">话筒设置：   有线话筒   支，设置人名：      </w:t>
            </w:r>
          </w:p>
          <w:p>
            <w:pPr>
              <w:ind w:firstLine="1260" w:firstLineChars="600"/>
              <w:rPr>
                <w:rFonts w:ascii="宋体" w:hAnsi="宋体"/>
              </w:rPr>
            </w:pPr>
            <w:r>
              <w:rPr>
                <w:rFonts w:hint="eastAsia" w:ascii="宋体" w:hAnsi="宋体"/>
              </w:rPr>
              <w:t xml:space="preserve"> 无线话筒   支；设置人名：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920" w:type="dxa"/>
            <w:gridSpan w:val="4"/>
          </w:tcPr>
          <w:p>
            <w:pPr>
              <w:rPr>
                <w:rFonts w:ascii="宋体" w:hAnsi="宋体"/>
              </w:rPr>
            </w:pPr>
            <w:r>
              <w:rPr>
                <w:rFonts w:hint="eastAsia" w:ascii="宋体" w:hAnsi="宋体"/>
              </w:rPr>
              <w:t>喷绘会标内容：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920" w:type="dxa"/>
            <w:gridSpan w:val="4"/>
          </w:tcPr>
          <w:p>
            <w:pPr>
              <w:rPr>
                <w:rFonts w:ascii="宋体" w:hAnsi="宋体"/>
              </w:rPr>
            </w:pPr>
            <w:r>
              <w:rPr>
                <w:rFonts w:hint="eastAsia" w:ascii="宋体" w:hAnsi="宋体"/>
              </w:rPr>
              <w:t>电子背景屏、侧屏内容：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920" w:type="dxa"/>
            <w:gridSpan w:val="4"/>
          </w:tcPr>
          <w:p>
            <w:pPr>
              <w:rPr>
                <w:rFonts w:ascii="宋体" w:hAnsi="宋体"/>
              </w:rPr>
            </w:pPr>
            <w:r>
              <w:rPr>
                <w:rFonts w:hint="eastAsia" w:ascii="宋体" w:hAnsi="宋体"/>
              </w:rPr>
              <w:t>进门电子屏内容：</w:t>
            </w:r>
          </w:p>
          <w:p>
            <w:pPr>
              <w:rPr>
                <w:rFonts w:ascii="宋体" w:hAnsi="宋体"/>
              </w:rPr>
            </w:pPr>
            <w:r>
              <w:rPr>
                <w:rFonts w:hint="eastAsia" w:ascii="宋体" w:hAnsi="宋体"/>
              </w:rPr>
              <w:t>会场内电子大屏内容：</w:t>
            </w:r>
          </w:p>
          <w:p>
            <w:pPr>
              <w:rPr>
                <w:rFonts w:ascii="宋体" w:hAnsi="宋体"/>
              </w:rPr>
            </w:pPr>
            <w:r>
              <w:rPr>
                <w:rFonts w:hint="eastAsia" w:ascii="宋体" w:hAnsi="宋体"/>
              </w:rPr>
              <w:t>会场内侧屏内容：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674" w:type="dxa"/>
          </w:tcPr>
          <w:p>
            <w:pPr>
              <w:rPr>
                <w:rFonts w:ascii="宋体" w:hAnsi="宋体"/>
              </w:rPr>
            </w:pPr>
            <w:r>
              <w:rPr>
                <w:rFonts w:hint="eastAsia" w:ascii="宋体" w:hAnsi="宋体"/>
                <w:lang w:val="en-US" w:eastAsia="zh-CN"/>
              </w:rPr>
              <w:t>预订</w:t>
            </w:r>
            <w:r>
              <w:rPr>
                <w:rFonts w:hint="eastAsia" w:ascii="宋体" w:hAnsi="宋体"/>
              </w:rPr>
              <w:t>部门</w:t>
            </w:r>
          </w:p>
          <w:p>
            <w:pPr>
              <w:rPr>
                <w:rFonts w:ascii="宋体" w:hAnsi="宋体"/>
              </w:rPr>
            </w:pPr>
            <w:r>
              <w:rPr>
                <w:rFonts w:hint="eastAsia" w:ascii="宋体" w:hAnsi="宋体"/>
              </w:rPr>
              <w:t>领导审批：</w:t>
            </w:r>
          </w:p>
        </w:tc>
        <w:tc>
          <w:tcPr>
            <w:tcW w:w="2786" w:type="dxa"/>
          </w:tcPr>
          <w:p>
            <w:pPr>
              <w:rPr>
                <w:rFonts w:ascii="宋体" w:hAnsi="宋体"/>
              </w:rPr>
            </w:pPr>
          </w:p>
        </w:tc>
        <w:tc>
          <w:tcPr>
            <w:tcW w:w="2230" w:type="dxa"/>
          </w:tcPr>
          <w:p>
            <w:pPr>
              <w:rPr>
                <w:rFonts w:ascii="宋体" w:hAnsi="宋体"/>
              </w:rPr>
            </w:pPr>
            <w:r>
              <w:rPr>
                <w:rFonts w:hint="eastAsia" w:ascii="宋体" w:hAnsi="宋体"/>
              </w:rPr>
              <w:t>中心分管</w:t>
            </w:r>
          </w:p>
          <w:p>
            <w:pPr>
              <w:rPr>
                <w:rFonts w:ascii="宋体" w:hAnsi="宋体"/>
              </w:rPr>
            </w:pPr>
            <w:r>
              <w:rPr>
                <w:rFonts w:hint="eastAsia" w:ascii="宋体" w:hAnsi="宋体"/>
              </w:rPr>
              <w:t>领导审批：</w:t>
            </w:r>
          </w:p>
        </w:tc>
        <w:tc>
          <w:tcPr>
            <w:tcW w:w="2230" w:type="dxa"/>
          </w:tcPr>
          <w:p>
            <w:pPr>
              <w:rPr>
                <w:rFonts w:ascii="宋体" w:hAnsi="宋体"/>
              </w:rPr>
            </w:pPr>
          </w:p>
        </w:tc>
      </w:tr>
    </w:tbl>
    <w:p>
      <w:pPr>
        <w:pStyle w:val="76"/>
        <w:numPr>
          <w:ilvl w:val="0"/>
          <w:numId w:val="0"/>
        </w:numPr>
        <w:spacing w:after="156"/>
        <w:rPr>
          <w:rFonts w:ascii="宋体" w:hAnsi="宋体" w:eastAsia="宋体"/>
        </w:rPr>
      </w:pPr>
      <w:bookmarkStart w:id="244" w:name="_Toc167185216"/>
      <w:bookmarkStart w:id="245" w:name="_Toc167185127"/>
      <w:r>
        <w:rPr>
          <w:rFonts w:hint="eastAsia" w:ascii="宋体" w:hAnsi="宋体" w:eastAsia="宋体"/>
        </w:rPr>
        <w:t>会议预定人：                             联系电话：</w:t>
      </w:r>
      <w:bookmarkEnd w:id="244"/>
      <w:bookmarkEnd w:id="245"/>
    </w:p>
    <w:p>
      <w:pPr>
        <w:pStyle w:val="76"/>
        <w:numPr>
          <w:ilvl w:val="0"/>
          <w:numId w:val="0"/>
        </w:numPr>
        <w:spacing w:after="156"/>
        <w:rPr>
          <w:rFonts w:ascii="宋体" w:hAnsi="宋体" w:eastAsia="宋体"/>
        </w:rPr>
      </w:pPr>
      <w:r>
        <w:rPr>
          <w:rFonts w:hint="eastAsia" w:ascii="宋体" w:hAnsi="宋体" w:eastAsia="宋体"/>
        </w:rPr>
        <w:t xml:space="preserve">                                           </w:t>
      </w:r>
      <w:bookmarkStart w:id="246" w:name="_Toc167185217"/>
      <w:bookmarkStart w:id="247" w:name="_Toc167185128"/>
      <w:r>
        <w:rPr>
          <w:rFonts w:hint="eastAsia" w:ascii="宋体" w:hAnsi="宋体" w:eastAsia="宋体"/>
        </w:rPr>
        <w:t>年     月     日</w:t>
      </w:r>
      <w:bookmarkEnd w:id="246"/>
      <w:bookmarkEnd w:id="247"/>
    </w:p>
    <w:p>
      <w:pPr>
        <w:pStyle w:val="76"/>
        <w:numPr>
          <w:ilvl w:val="0"/>
          <w:numId w:val="0"/>
        </w:numPr>
        <w:spacing w:after="156"/>
        <w:jc w:val="both"/>
        <w:rPr>
          <w:rFonts w:ascii="宋体" w:hAnsi="宋体" w:eastAsia="宋体"/>
        </w:rPr>
      </w:pPr>
      <w:bookmarkStart w:id="248" w:name="_Toc167185218"/>
      <w:bookmarkStart w:id="249" w:name="_Toc167185129"/>
      <w:r>
        <w:rPr>
          <w:rFonts w:hint="eastAsia" w:ascii="宋体" w:hAnsi="宋体" w:eastAsia="宋体"/>
        </w:rPr>
        <w:t>注：如因市委、市政府紧急会议征用已预订会场，需服从组织安排。</w:t>
      </w:r>
      <w:bookmarkEnd w:id="248"/>
      <w:bookmarkEnd w:id="249"/>
    </w:p>
    <w:p>
      <w:pPr>
        <w:pStyle w:val="56"/>
        <w:ind w:firstLine="420"/>
      </w:pPr>
    </w:p>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after="156"/>
      </w:pPr>
      <w:r>
        <w:br w:type="textWrapping"/>
      </w:r>
      <w:bookmarkStart w:id="250" w:name="_Toc167185219"/>
      <w:bookmarkStart w:id="251" w:name="_Toc167185130"/>
      <w:r>
        <w:rPr>
          <w:rFonts w:hint="eastAsia"/>
        </w:rPr>
        <w:t>（资料性）</w:t>
      </w:r>
      <w:r>
        <w:br w:type="textWrapping"/>
      </w:r>
      <w:r>
        <w:rPr>
          <w:rFonts w:hint="eastAsia"/>
        </w:rPr>
        <w:t>会前服务工作清单</w:t>
      </w:r>
      <w:bookmarkEnd w:id="250"/>
      <w:bookmarkEnd w:id="251"/>
    </w:p>
    <w:tbl>
      <w:tblPr>
        <w:tblStyle w:val="26"/>
        <w:tblW w:w="8985" w:type="dxa"/>
        <w:tblInd w:w="93" w:type="dxa"/>
        <w:tblLayout w:type="fixed"/>
        <w:tblCellMar>
          <w:top w:w="0" w:type="dxa"/>
          <w:left w:w="108" w:type="dxa"/>
          <w:bottom w:w="0" w:type="dxa"/>
          <w:right w:w="108" w:type="dxa"/>
        </w:tblCellMar>
      </w:tblPr>
      <w:tblGrid>
        <w:gridCol w:w="1320"/>
        <w:gridCol w:w="1113"/>
        <w:gridCol w:w="1302"/>
        <w:gridCol w:w="1590"/>
        <w:gridCol w:w="2220"/>
        <w:gridCol w:w="1440"/>
      </w:tblGrid>
      <w:tr>
        <w:tblPrEx>
          <w:tblCellMar>
            <w:top w:w="0" w:type="dxa"/>
            <w:left w:w="108" w:type="dxa"/>
            <w:bottom w:w="0" w:type="dxa"/>
            <w:right w:w="108" w:type="dxa"/>
          </w:tblCellMar>
        </w:tblPrEx>
        <w:trPr>
          <w:trHeight w:val="459" w:hRule="atLeast"/>
        </w:trPr>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预定单位</w:t>
            </w:r>
          </w:p>
        </w:tc>
        <w:tc>
          <w:tcPr>
            <w:tcW w:w="2415" w:type="dxa"/>
            <w:gridSpan w:val="2"/>
            <w:tcBorders>
              <w:top w:val="single" w:color="000000" w:sz="4" w:space="0"/>
              <w:left w:val="single" w:color="000000" w:sz="4" w:space="0"/>
              <w:bottom w:val="single" w:color="000000" w:sz="4" w:space="0"/>
              <w:right w:val="single" w:color="000000" w:sz="4" w:space="0"/>
            </w:tcBorders>
            <w:noWrap/>
            <w:vAlign w:val="center"/>
          </w:tcPr>
          <w:p>
            <w:pPr>
              <w:pStyle w:val="56"/>
              <w:ind w:firstLine="420"/>
              <w:jc w:val="cente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会议时间</w:t>
            </w:r>
          </w:p>
        </w:tc>
        <w:tc>
          <w:tcPr>
            <w:tcW w:w="3660" w:type="dxa"/>
            <w:gridSpan w:val="2"/>
            <w:tcBorders>
              <w:top w:val="single" w:color="000000" w:sz="4" w:space="0"/>
              <w:left w:val="single" w:color="000000" w:sz="4" w:space="0"/>
              <w:bottom w:val="single" w:color="000000" w:sz="4" w:space="0"/>
              <w:right w:val="single" w:color="000000" w:sz="4" w:space="0"/>
            </w:tcBorders>
            <w:noWrap/>
            <w:vAlign w:val="center"/>
          </w:tcPr>
          <w:p>
            <w:pPr>
              <w:pStyle w:val="56"/>
              <w:ind w:firstLine="420"/>
              <w:jc w:val="center"/>
            </w:pPr>
          </w:p>
        </w:tc>
      </w:tr>
      <w:tr>
        <w:tblPrEx>
          <w:tblCellMar>
            <w:top w:w="0" w:type="dxa"/>
            <w:left w:w="108" w:type="dxa"/>
            <w:bottom w:w="0" w:type="dxa"/>
            <w:right w:w="108" w:type="dxa"/>
          </w:tblCellMar>
        </w:tblPrEx>
        <w:trPr>
          <w:trHeight w:val="441" w:hRule="atLeast"/>
        </w:trPr>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使用会议室</w:t>
            </w:r>
          </w:p>
        </w:tc>
        <w:tc>
          <w:tcPr>
            <w:tcW w:w="2415" w:type="dxa"/>
            <w:gridSpan w:val="2"/>
            <w:tcBorders>
              <w:top w:val="single" w:color="000000" w:sz="4" w:space="0"/>
              <w:left w:val="single" w:color="000000" w:sz="4" w:space="0"/>
              <w:bottom w:val="single" w:color="000000" w:sz="4" w:space="0"/>
              <w:right w:val="single" w:color="000000" w:sz="4" w:space="0"/>
            </w:tcBorders>
            <w:noWrap/>
            <w:vAlign w:val="center"/>
          </w:tcPr>
          <w:p>
            <w:pPr>
              <w:pStyle w:val="56"/>
              <w:ind w:firstLine="420"/>
              <w:jc w:val="center"/>
            </w:pPr>
          </w:p>
        </w:tc>
        <w:tc>
          <w:tcPr>
            <w:tcW w:w="1590"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责任人员</w:t>
            </w:r>
          </w:p>
        </w:tc>
        <w:tc>
          <w:tcPr>
            <w:tcW w:w="3660" w:type="dxa"/>
            <w:gridSpan w:val="2"/>
            <w:tcBorders>
              <w:top w:val="single" w:color="000000" w:sz="4" w:space="0"/>
              <w:left w:val="single" w:color="000000" w:sz="4" w:space="0"/>
              <w:bottom w:val="single" w:color="000000" w:sz="4" w:space="0"/>
              <w:right w:val="single" w:color="000000" w:sz="4" w:space="0"/>
            </w:tcBorders>
            <w:noWrap/>
            <w:vAlign w:val="center"/>
          </w:tcPr>
          <w:p>
            <w:pPr>
              <w:pStyle w:val="56"/>
              <w:ind w:firstLine="420"/>
              <w:jc w:val="center"/>
            </w:pPr>
          </w:p>
        </w:tc>
      </w:tr>
      <w:tr>
        <w:tblPrEx>
          <w:tblCellMar>
            <w:top w:w="0" w:type="dxa"/>
            <w:left w:w="108" w:type="dxa"/>
            <w:bottom w:w="0" w:type="dxa"/>
            <w:right w:w="108" w:type="dxa"/>
          </w:tblCellMar>
        </w:tblPrEx>
        <w:trPr>
          <w:trHeight w:val="479" w:hRule="atLeast"/>
        </w:trPr>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会议名称</w:t>
            </w:r>
          </w:p>
        </w:tc>
        <w:tc>
          <w:tcPr>
            <w:tcW w:w="7665" w:type="dxa"/>
            <w:gridSpan w:val="5"/>
            <w:tcBorders>
              <w:top w:val="single" w:color="000000" w:sz="4" w:space="0"/>
              <w:left w:val="single" w:color="000000" w:sz="4" w:space="0"/>
              <w:bottom w:val="single" w:color="000000" w:sz="4" w:space="0"/>
              <w:right w:val="single" w:color="000000" w:sz="4" w:space="0"/>
            </w:tcBorders>
            <w:noWrap/>
            <w:vAlign w:val="center"/>
          </w:tcPr>
          <w:p>
            <w:pPr>
              <w:pStyle w:val="56"/>
              <w:ind w:firstLine="420"/>
              <w:jc w:val="center"/>
            </w:pPr>
          </w:p>
        </w:tc>
      </w:tr>
      <w:tr>
        <w:tblPrEx>
          <w:tblCellMar>
            <w:top w:w="0" w:type="dxa"/>
            <w:left w:w="108" w:type="dxa"/>
            <w:bottom w:w="0" w:type="dxa"/>
            <w:right w:w="108" w:type="dxa"/>
          </w:tblCellMar>
        </w:tblPrEx>
        <w:trPr>
          <w:trHeight w:val="571" w:hRule="atLeast"/>
        </w:trPr>
        <w:tc>
          <w:tcPr>
            <w:tcW w:w="1320"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会议类型</w:t>
            </w:r>
          </w:p>
        </w:tc>
        <w:tc>
          <w:tcPr>
            <w:tcW w:w="1113"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工作会：</w:t>
            </w:r>
          </w:p>
        </w:tc>
        <w:tc>
          <w:tcPr>
            <w:tcW w:w="1302"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座谈会：</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报告会：</w:t>
            </w:r>
          </w:p>
        </w:tc>
        <w:tc>
          <w:tcPr>
            <w:tcW w:w="2220"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视频会：</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其它：</w:t>
            </w:r>
          </w:p>
        </w:tc>
      </w:tr>
      <w:tr>
        <w:tblPrEx>
          <w:tblCellMar>
            <w:top w:w="0" w:type="dxa"/>
            <w:left w:w="108" w:type="dxa"/>
            <w:bottom w:w="0" w:type="dxa"/>
            <w:right w:w="108" w:type="dxa"/>
          </w:tblCellMar>
        </w:tblPrEx>
        <w:trPr>
          <w:trHeight w:val="515" w:hRule="atLeast"/>
        </w:trPr>
        <w:tc>
          <w:tcPr>
            <w:tcW w:w="8985" w:type="dxa"/>
            <w:gridSpan w:val="6"/>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会议服务项目</w:t>
            </w:r>
          </w:p>
        </w:tc>
      </w:tr>
      <w:tr>
        <w:tblPrEx>
          <w:tblCellMar>
            <w:top w:w="0" w:type="dxa"/>
            <w:left w:w="108" w:type="dxa"/>
            <w:bottom w:w="0" w:type="dxa"/>
            <w:right w:w="108" w:type="dxa"/>
          </w:tblCellMar>
        </w:tblPrEx>
        <w:trPr>
          <w:trHeight w:val="449" w:hRule="atLeast"/>
        </w:trPr>
        <w:tc>
          <w:tcPr>
            <w:tcW w:w="8985" w:type="dxa"/>
            <w:gridSpan w:val="6"/>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参会最高领导：</w:t>
            </w:r>
          </w:p>
        </w:tc>
      </w:tr>
      <w:tr>
        <w:tblPrEx>
          <w:tblCellMar>
            <w:top w:w="0" w:type="dxa"/>
            <w:left w:w="108" w:type="dxa"/>
            <w:bottom w:w="0" w:type="dxa"/>
            <w:right w:w="108" w:type="dxa"/>
          </w:tblCellMar>
        </w:tblPrEx>
        <w:trPr>
          <w:trHeight w:val="545" w:hRule="atLeast"/>
        </w:trPr>
        <w:tc>
          <w:tcPr>
            <w:tcW w:w="1320" w:type="dxa"/>
            <w:vMerge w:val="restart"/>
            <w:tcBorders>
              <w:top w:val="single" w:color="000000" w:sz="4" w:space="0"/>
              <w:left w:val="single" w:color="000000" w:sz="4" w:space="0"/>
              <w:bottom w:val="nil"/>
              <w:right w:val="single" w:color="000000" w:sz="4" w:space="0"/>
            </w:tcBorders>
            <w:vAlign w:val="center"/>
          </w:tcPr>
          <w:p>
            <w:pPr>
              <w:pStyle w:val="56"/>
              <w:ind w:firstLine="0" w:firstLineChars="0"/>
              <w:jc w:val="center"/>
            </w:pPr>
            <w:r>
              <w:rPr>
                <w:rFonts w:hint="eastAsia"/>
              </w:rPr>
              <w:t>会场布置</w:t>
            </w:r>
          </w:p>
          <w:p>
            <w:pPr>
              <w:pStyle w:val="56"/>
              <w:ind w:firstLine="0" w:firstLineChars="0"/>
              <w:jc w:val="center"/>
            </w:pPr>
            <w:r>
              <w:rPr>
                <w:rFonts w:hint="eastAsia"/>
              </w:rPr>
              <w:t>岗位安排</w:t>
            </w:r>
          </w:p>
        </w:tc>
        <w:tc>
          <w:tcPr>
            <w:tcW w:w="1113"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主席台：</w:t>
            </w:r>
          </w:p>
        </w:tc>
        <w:tc>
          <w:tcPr>
            <w:tcW w:w="1302"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大门引领：</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会议室前门：</w:t>
            </w:r>
          </w:p>
        </w:tc>
        <w:tc>
          <w:tcPr>
            <w:tcW w:w="2220" w:type="dxa"/>
            <w:tcBorders>
              <w:top w:val="single" w:color="000000" w:sz="4" w:space="0"/>
              <w:left w:val="single" w:color="000000" w:sz="4" w:space="0"/>
              <w:bottom w:val="single" w:color="000000" w:sz="4" w:space="0"/>
              <w:right w:val="nil"/>
            </w:tcBorders>
            <w:noWrap/>
            <w:vAlign w:val="center"/>
          </w:tcPr>
          <w:p>
            <w:pPr>
              <w:pStyle w:val="56"/>
              <w:ind w:firstLine="0" w:firstLineChars="0"/>
              <w:jc w:val="center"/>
            </w:pPr>
            <w:r>
              <w:rPr>
                <w:rFonts w:hint="eastAsia"/>
              </w:rPr>
              <w:t>休息室（接见厅）：</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东电梯：</w:t>
            </w:r>
          </w:p>
        </w:tc>
      </w:tr>
      <w:tr>
        <w:tblPrEx>
          <w:tblCellMar>
            <w:top w:w="0" w:type="dxa"/>
            <w:left w:w="108" w:type="dxa"/>
            <w:bottom w:w="0" w:type="dxa"/>
            <w:right w:w="108" w:type="dxa"/>
          </w:tblCellMar>
        </w:tblPrEx>
        <w:trPr>
          <w:trHeight w:val="533" w:hRule="atLeast"/>
        </w:trPr>
        <w:tc>
          <w:tcPr>
            <w:tcW w:w="1320" w:type="dxa"/>
            <w:vMerge w:val="continue"/>
            <w:tcBorders>
              <w:top w:val="single" w:color="000000" w:sz="4" w:space="0"/>
              <w:left w:val="single" w:color="000000" w:sz="4" w:space="0"/>
              <w:bottom w:val="nil"/>
              <w:right w:val="single" w:color="000000" w:sz="4" w:space="0"/>
            </w:tcBorders>
            <w:vAlign w:val="center"/>
          </w:tcPr>
          <w:p>
            <w:pPr>
              <w:pStyle w:val="56"/>
              <w:ind w:firstLine="420"/>
              <w:jc w:val="center"/>
            </w:pPr>
          </w:p>
        </w:tc>
        <w:tc>
          <w:tcPr>
            <w:tcW w:w="1113"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观众席：</w:t>
            </w:r>
          </w:p>
        </w:tc>
        <w:tc>
          <w:tcPr>
            <w:tcW w:w="1302"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北侧门：</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会议室后门：</w:t>
            </w:r>
          </w:p>
        </w:tc>
        <w:tc>
          <w:tcPr>
            <w:tcW w:w="2220"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户外休息区：</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西电梯：</w:t>
            </w:r>
          </w:p>
        </w:tc>
      </w:tr>
      <w:tr>
        <w:tblPrEx>
          <w:tblCellMar>
            <w:top w:w="0" w:type="dxa"/>
            <w:left w:w="108" w:type="dxa"/>
            <w:bottom w:w="0" w:type="dxa"/>
            <w:right w:w="108" w:type="dxa"/>
          </w:tblCellMar>
        </w:tblPrEx>
        <w:trPr>
          <w:trHeight w:val="546" w:hRule="atLeast"/>
        </w:trPr>
        <w:tc>
          <w:tcPr>
            <w:tcW w:w="1320" w:type="dxa"/>
            <w:vMerge w:val="continue"/>
            <w:tcBorders>
              <w:top w:val="single" w:color="000000" w:sz="4" w:space="0"/>
              <w:left w:val="single" w:color="000000" w:sz="4" w:space="0"/>
              <w:bottom w:val="nil"/>
              <w:right w:val="single" w:color="000000" w:sz="4" w:space="0"/>
            </w:tcBorders>
            <w:vAlign w:val="center"/>
          </w:tcPr>
          <w:p>
            <w:pPr>
              <w:pStyle w:val="56"/>
              <w:ind w:firstLine="420"/>
              <w:jc w:val="center"/>
            </w:pPr>
          </w:p>
        </w:tc>
        <w:tc>
          <w:tcPr>
            <w:tcW w:w="7665" w:type="dxa"/>
            <w:gridSpan w:val="5"/>
            <w:tcBorders>
              <w:top w:val="single" w:color="000000" w:sz="4" w:space="0"/>
              <w:left w:val="single" w:color="000000" w:sz="4" w:space="0"/>
              <w:bottom w:val="nil"/>
              <w:right w:val="single" w:color="000000" w:sz="4" w:space="0"/>
            </w:tcBorders>
            <w:noWrap/>
          </w:tcPr>
          <w:p>
            <w:pPr>
              <w:pStyle w:val="56"/>
              <w:ind w:firstLine="420"/>
              <w:jc w:val="center"/>
            </w:pPr>
            <w:r>
              <w:rPr>
                <w:rFonts w:hint="eastAsia"/>
              </w:rPr>
              <w:t>备注：</w:t>
            </w:r>
          </w:p>
        </w:tc>
      </w:tr>
      <w:tr>
        <w:tblPrEx>
          <w:tblCellMar>
            <w:top w:w="0" w:type="dxa"/>
            <w:left w:w="108" w:type="dxa"/>
            <w:bottom w:w="0" w:type="dxa"/>
            <w:right w:w="108" w:type="dxa"/>
          </w:tblCellMar>
        </w:tblPrEx>
        <w:trPr>
          <w:trHeight w:val="608" w:hRule="atLeast"/>
        </w:trPr>
        <w:tc>
          <w:tcPr>
            <w:tcW w:w="1320" w:type="dxa"/>
            <w:vMerge w:val="restart"/>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会议物品</w:t>
            </w:r>
          </w:p>
        </w:tc>
        <w:tc>
          <w:tcPr>
            <w:tcW w:w="1113"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瓷杯：</w:t>
            </w:r>
          </w:p>
        </w:tc>
        <w:tc>
          <w:tcPr>
            <w:tcW w:w="1302"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毛巾：</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矿泉水：</w:t>
            </w:r>
          </w:p>
        </w:tc>
        <w:tc>
          <w:tcPr>
            <w:tcW w:w="2220"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保温壶：</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席卡：</w:t>
            </w:r>
          </w:p>
        </w:tc>
      </w:tr>
      <w:tr>
        <w:tblPrEx>
          <w:tblCellMar>
            <w:top w:w="0" w:type="dxa"/>
            <w:left w:w="108" w:type="dxa"/>
            <w:bottom w:w="0" w:type="dxa"/>
            <w:right w:w="108" w:type="dxa"/>
          </w:tblCellMar>
        </w:tblPrEx>
        <w:trPr>
          <w:trHeight w:val="532" w:hRule="atLeast"/>
        </w:trPr>
        <w:tc>
          <w:tcPr>
            <w:tcW w:w="1320"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56"/>
              <w:ind w:firstLine="420"/>
              <w:jc w:val="center"/>
            </w:pPr>
          </w:p>
        </w:tc>
        <w:tc>
          <w:tcPr>
            <w:tcW w:w="1113"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笔、A4纸：</w:t>
            </w:r>
          </w:p>
        </w:tc>
        <w:tc>
          <w:tcPr>
            <w:tcW w:w="1302"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湿纸巾：</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抽纸：</w:t>
            </w:r>
          </w:p>
        </w:tc>
        <w:tc>
          <w:tcPr>
            <w:tcW w:w="2220"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烟灰缸：</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洗手间用品：</w:t>
            </w:r>
          </w:p>
        </w:tc>
      </w:tr>
      <w:tr>
        <w:tblPrEx>
          <w:tblCellMar>
            <w:top w:w="0" w:type="dxa"/>
            <w:left w:w="108" w:type="dxa"/>
            <w:bottom w:w="0" w:type="dxa"/>
            <w:right w:w="108" w:type="dxa"/>
          </w:tblCellMar>
        </w:tblPrEx>
        <w:trPr>
          <w:trHeight w:val="591" w:hRule="atLeast"/>
        </w:trPr>
        <w:tc>
          <w:tcPr>
            <w:tcW w:w="1320"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56"/>
              <w:ind w:firstLine="420"/>
              <w:jc w:val="center"/>
            </w:pPr>
          </w:p>
        </w:tc>
        <w:tc>
          <w:tcPr>
            <w:tcW w:w="7665" w:type="dxa"/>
            <w:gridSpan w:val="5"/>
            <w:tcBorders>
              <w:top w:val="single" w:color="000000" w:sz="4" w:space="0"/>
              <w:left w:val="single" w:color="000000" w:sz="4" w:space="0"/>
              <w:bottom w:val="single" w:color="000000" w:sz="4" w:space="0"/>
              <w:right w:val="single" w:color="000000" w:sz="4" w:space="0"/>
            </w:tcBorders>
            <w:noWrap/>
          </w:tcPr>
          <w:p>
            <w:pPr>
              <w:pStyle w:val="56"/>
              <w:ind w:firstLine="420"/>
              <w:jc w:val="center"/>
            </w:pPr>
            <w:r>
              <w:rPr>
                <w:rFonts w:hint="eastAsia"/>
              </w:rPr>
              <w:t>备注：</w:t>
            </w:r>
          </w:p>
        </w:tc>
      </w:tr>
      <w:tr>
        <w:tblPrEx>
          <w:tblCellMar>
            <w:top w:w="0" w:type="dxa"/>
            <w:left w:w="108" w:type="dxa"/>
            <w:bottom w:w="0" w:type="dxa"/>
            <w:right w:w="108" w:type="dxa"/>
          </w:tblCellMar>
        </w:tblPrEx>
        <w:trPr>
          <w:trHeight w:val="476" w:hRule="atLeast"/>
        </w:trPr>
        <w:tc>
          <w:tcPr>
            <w:tcW w:w="8985" w:type="dxa"/>
            <w:gridSpan w:val="6"/>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音响设备服务项目</w:t>
            </w:r>
          </w:p>
        </w:tc>
      </w:tr>
      <w:tr>
        <w:tblPrEx>
          <w:tblCellMar>
            <w:top w:w="0" w:type="dxa"/>
            <w:left w:w="108" w:type="dxa"/>
            <w:bottom w:w="0" w:type="dxa"/>
            <w:right w:w="108" w:type="dxa"/>
          </w:tblCellMar>
        </w:tblPrEx>
        <w:trPr>
          <w:trHeight w:val="694" w:hRule="atLeast"/>
        </w:trPr>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pStyle w:val="56"/>
              <w:ind w:firstLine="0" w:firstLineChars="0"/>
              <w:jc w:val="center"/>
            </w:pPr>
            <w:r>
              <w:rPr>
                <w:rFonts w:hint="eastAsia"/>
              </w:rPr>
              <w:t>音响设备 物品</w:t>
            </w:r>
          </w:p>
        </w:tc>
        <w:tc>
          <w:tcPr>
            <w:tcW w:w="1113"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话筒：</w:t>
            </w:r>
          </w:p>
        </w:tc>
        <w:tc>
          <w:tcPr>
            <w:tcW w:w="1302"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报告席：</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电子屏：</w:t>
            </w:r>
          </w:p>
        </w:tc>
        <w:tc>
          <w:tcPr>
            <w:tcW w:w="2220"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jc w:val="center"/>
            </w:pPr>
            <w:r>
              <w:rPr>
                <w:rFonts w:hint="eastAsia"/>
              </w:rPr>
              <w:t>投影仪：</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课件：</w:t>
            </w:r>
          </w:p>
        </w:tc>
      </w:tr>
      <w:tr>
        <w:tblPrEx>
          <w:tblCellMar>
            <w:top w:w="0" w:type="dxa"/>
            <w:left w:w="108" w:type="dxa"/>
            <w:bottom w:w="0" w:type="dxa"/>
            <w:right w:w="108" w:type="dxa"/>
          </w:tblCellMar>
        </w:tblPrEx>
        <w:trPr>
          <w:trHeight w:val="351" w:hRule="atLeast"/>
        </w:trPr>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pStyle w:val="56"/>
              <w:ind w:firstLine="420"/>
              <w:jc w:val="center"/>
            </w:pPr>
          </w:p>
        </w:tc>
        <w:tc>
          <w:tcPr>
            <w:tcW w:w="1113" w:type="dxa"/>
            <w:tcBorders>
              <w:top w:val="single" w:color="000000" w:sz="4" w:space="0"/>
              <w:left w:val="single" w:color="000000" w:sz="4" w:space="0"/>
              <w:bottom w:val="nil"/>
              <w:right w:val="single" w:color="000000" w:sz="4" w:space="0"/>
            </w:tcBorders>
            <w:noWrap/>
            <w:vAlign w:val="center"/>
          </w:tcPr>
          <w:p>
            <w:pPr>
              <w:pStyle w:val="56"/>
              <w:ind w:firstLine="0" w:firstLineChars="0"/>
              <w:jc w:val="center"/>
            </w:pPr>
            <w:r>
              <w:rPr>
                <w:rFonts w:hint="eastAsia"/>
              </w:rPr>
              <w:t>手持话筒：</w:t>
            </w:r>
          </w:p>
        </w:tc>
        <w:tc>
          <w:tcPr>
            <w:tcW w:w="1302" w:type="dxa"/>
            <w:tcBorders>
              <w:top w:val="single" w:color="000000" w:sz="4" w:space="0"/>
              <w:left w:val="single" w:color="000000" w:sz="4" w:space="0"/>
              <w:bottom w:val="nil"/>
              <w:right w:val="single" w:color="000000" w:sz="4" w:space="0"/>
            </w:tcBorders>
            <w:noWrap/>
            <w:vAlign w:val="center"/>
          </w:tcPr>
          <w:p>
            <w:pPr>
              <w:pStyle w:val="56"/>
              <w:ind w:firstLine="0" w:firstLineChars="0"/>
              <w:jc w:val="center"/>
            </w:pPr>
            <w:r>
              <w:rPr>
                <w:rFonts w:hint="eastAsia"/>
              </w:rPr>
              <w:t>立麦：</w:t>
            </w:r>
          </w:p>
        </w:tc>
        <w:tc>
          <w:tcPr>
            <w:tcW w:w="1590" w:type="dxa"/>
            <w:tcBorders>
              <w:top w:val="single" w:color="000000" w:sz="4" w:space="0"/>
              <w:left w:val="single" w:color="000000" w:sz="4" w:space="0"/>
              <w:bottom w:val="nil"/>
              <w:right w:val="single" w:color="000000" w:sz="4" w:space="0"/>
            </w:tcBorders>
            <w:noWrap/>
            <w:vAlign w:val="center"/>
          </w:tcPr>
          <w:p>
            <w:pPr>
              <w:pStyle w:val="56"/>
              <w:ind w:firstLine="0" w:firstLineChars="0"/>
              <w:jc w:val="center"/>
            </w:pPr>
            <w:r>
              <w:rPr>
                <w:rFonts w:hint="eastAsia"/>
              </w:rPr>
              <w:t>外接设备：</w:t>
            </w:r>
          </w:p>
        </w:tc>
        <w:tc>
          <w:tcPr>
            <w:tcW w:w="2220" w:type="dxa"/>
            <w:tcBorders>
              <w:top w:val="single" w:color="000000" w:sz="4" w:space="0"/>
              <w:left w:val="single" w:color="000000" w:sz="4" w:space="0"/>
              <w:bottom w:val="nil"/>
              <w:right w:val="single" w:color="000000" w:sz="4" w:space="0"/>
            </w:tcBorders>
            <w:noWrap/>
            <w:vAlign w:val="center"/>
          </w:tcPr>
          <w:p>
            <w:pPr>
              <w:pStyle w:val="56"/>
              <w:ind w:firstLine="420"/>
              <w:jc w:val="center"/>
            </w:pPr>
          </w:p>
        </w:tc>
        <w:tc>
          <w:tcPr>
            <w:tcW w:w="1440" w:type="dxa"/>
            <w:tcBorders>
              <w:top w:val="single" w:color="000000" w:sz="4" w:space="0"/>
              <w:left w:val="single" w:color="000000" w:sz="4" w:space="0"/>
              <w:bottom w:val="nil"/>
              <w:right w:val="single" w:color="000000" w:sz="4" w:space="0"/>
            </w:tcBorders>
            <w:noWrap/>
            <w:vAlign w:val="center"/>
          </w:tcPr>
          <w:p>
            <w:pPr>
              <w:pStyle w:val="56"/>
              <w:ind w:firstLine="420"/>
              <w:jc w:val="center"/>
            </w:pPr>
          </w:p>
        </w:tc>
      </w:tr>
      <w:tr>
        <w:tblPrEx>
          <w:tblCellMar>
            <w:top w:w="0" w:type="dxa"/>
            <w:left w:w="108" w:type="dxa"/>
            <w:bottom w:w="0" w:type="dxa"/>
            <w:right w:w="108" w:type="dxa"/>
          </w:tblCellMar>
        </w:tblPrEx>
        <w:trPr>
          <w:trHeight w:val="597" w:hRule="atLeast"/>
        </w:trPr>
        <w:tc>
          <w:tcPr>
            <w:tcW w:w="1320" w:type="dxa"/>
            <w:vMerge w:val="restart"/>
            <w:tcBorders>
              <w:top w:val="single" w:color="000000" w:sz="4" w:space="0"/>
              <w:left w:val="single" w:color="000000" w:sz="4" w:space="0"/>
              <w:bottom w:val="single" w:color="000000" w:sz="4" w:space="0"/>
              <w:right w:val="nil"/>
            </w:tcBorders>
            <w:vAlign w:val="center"/>
          </w:tcPr>
          <w:p>
            <w:pPr>
              <w:pStyle w:val="56"/>
              <w:ind w:firstLine="0" w:firstLineChars="0"/>
              <w:jc w:val="center"/>
            </w:pPr>
            <w:r>
              <w:rPr>
                <w:rFonts w:hint="eastAsia"/>
              </w:rPr>
              <w:t>设备检查</w:t>
            </w:r>
          </w:p>
        </w:tc>
        <w:tc>
          <w:tcPr>
            <w:tcW w:w="1113"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功放：</w:t>
            </w:r>
          </w:p>
        </w:tc>
        <w:tc>
          <w:tcPr>
            <w:tcW w:w="1302"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调音台：</w:t>
            </w:r>
          </w:p>
        </w:tc>
        <w:tc>
          <w:tcPr>
            <w:tcW w:w="1590"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总电源：</w:t>
            </w:r>
          </w:p>
        </w:tc>
        <w:tc>
          <w:tcPr>
            <w:tcW w:w="2220"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话筒存放：</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线材收纳：</w:t>
            </w:r>
          </w:p>
        </w:tc>
      </w:tr>
      <w:tr>
        <w:tblPrEx>
          <w:tblCellMar>
            <w:top w:w="0" w:type="dxa"/>
            <w:left w:w="108" w:type="dxa"/>
            <w:bottom w:w="0" w:type="dxa"/>
            <w:right w:w="108" w:type="dxa"/>
          </w:tblCellMar>
        </w:tblPrEx>
        <w:trPr>
          <w:trHeight w:val="636" w:hRule="atLeast"/>
        </w:trPr>
        <w:tc>
          <w:tcPr>
            <w:tcW w:w="1320" w:type="dxa"/>
            <w:vMerge w:val="continue"/>
            <w:tcBorders>
              <w:top w:val="single" w:color="000000" w:sz="4" w:space="0"/>
              <w:left w:val="single" w:color="000000" w:sz="4" w:space="0"/>
              <w:bottom w:val="single" w:color="000000" w:sz="4" w:space="0"/>
              <w:right w:val="nil"/>
            </w:tcBorders>
            <w:vAlign w:val="center"/>
          </w:tcPr>
          <w:p>
            <w:pPr>
              <w:pStyle w:val="56"/>
              <w:ind w:firstLine="420"/>
              <w:jc w:val="center"/>
            </w:pPr>
          </w:p>
        </w:tc>
        <w:tc>
          <w:tcPr>
            <w:tcW w:w="7665" w:type="dxa"/>
            <w:gridSpan w:val="5"/>
            <w:tcBorders>
              <w:top w:val="single" w:color="000000" w:sz="4" w:space="0"/>
              <w:left w:val="single" w:color="000000" w:sz="4" w:space="0"/>
              <w:bottom w:val="single" w:color="000000" w:sz="4" w:space="0"/>
              <w:right w:val="single" w:color="000000" w:sz="4" w:space="0"/>
            </w:tcBorders>
            <w:noWrap/>
          </w:tcPr>
          <w:p>
            <w:pPr>
              <w:pStyle w:val="56"/>
              <w:ind w:firstLine="0" w:firstLineChars="0"/>
              <w:jc w:val="center"/>
            </w:pPr>
            <w:r>
              <w:rPr>
                <w:rFonts w:hint="eastAsia"/>
              </w:rPr>
              <w:t>备注：</w:t>
            </w:r>
          </w:p>
        </w:tc>
      </w:tr>
      <w:tr>
        <w:tblPrEx>
          <w:tblCellMar>
            <w:top w:w="0" w:type="dxa"/>
            <w:left w:w="108" w:type="dxa"/>
            <w:bottom w:w="0" w:type="dxa"/>
            <w:right w:w="108" w:type="dxa"/>
          </w:tblCellMar>
        </w:tblPrEx>
        <w:trPr>
          <w:trHeight w:val="405" w:hRule="atLeast"/>
        </w:trPr>
        <w:tc>
          <w:tcPr>
            <w:tcW w:w="1320" w:type="dxa"/>
            <w:tcBorders>
              <w:top w:val="nil"/>
              <w:left w:val="nil"/>
              <w:bottom w:val="nil"/>
              <w:right w:val="nil"/>
            </w:tcBorders>
            <w:noWrap/>
            <w:vAlign w:val="center"/>
          </w:tcPr>
          <w:p>
            <w:pPr>
              <w:pStyle w:val="56"/>
              <w:ind w:firstLine="420"/>
              <w:jc w:val="center"/>
            </w:pPr>
          </w:p>
        </w:tc>
        <w:tc>
          <w:tcPr>
            <w:tcW w:w="1113" w:type="dxa"/>
            <w:tcBorders>
              <w:top w:val="nil"/>
              <w:left w:val="nil"/>
              <w:bottom w:val="nil"/>
              <w:right w:val="nil"/>
            </w:tcBorders>
            <w:noWrap/>
            <w:vAlign w:val="center"/>
          </w:tcPr>
          <w:p>
            <w:pPr>
              <w:pStyle w:val="56"/>
              <w:ind w:firstLine="420"/>
              <w:jc w:val="center"/>
            </w:pPr>
          </w:p>
        </w:tc>
        <w:tc>
          <w:tcPr>
            <w:tcW w:w="1302" w:type="dxa"/>
            <w:tcBorders>
              <w:top w:val="nil"/>
              <w:left w:val="nil"/>
              <w:bottom w:val="nil"/>
              <w:right w:val="nil"/>
            </w:tcBorders>
            <w:noWrap/>
            <w:vAlign w:val="center"/>
          </w:tcPr>
          <w:p>
            <w:pPr>
              <w:pStyle w:val="56"/>
              <w:ind w:firstLine="420"/>
              <w:jc w:val="center"/>
            </w:pPr>
          </w:p>
        </w:tc>
        <w:tc>
          <w:tcPr>
            <w:tcW w:w="1590" w:type="dxa"/>
            <w:tcBorders>
              <w:top w:val="nil"/>
              <w:left w:val="nil"/>
              <w:bottom w:val="nil"/>
              <w:right w:val="nil"/>
            </w:tcBorders>
            <w:noWrap/>
            <w:vAlign w:val="center"/>
          </w:tcPr>
          <w:p>
            <w:pPr>
              <w:pStyle w:val="56"/>
              <w:ind w:firstLine="420"/>
              <w:jc w:val="center"/>
            </w:pPr>
          </w:p>
        </w:tc>
        <w:tc>
          <w:tcPr>
            <w:tcW w:w="2220" w:type="dxa"/>
            <w:tcBorders>
              <w:top w:val="nil"/>
              <w:left w:val="nil"/>
              <w:bottom w:val="nil"/>
              <w:right w:val="nil"/>
            </w:tcBorders>
            <w:noWrap/>
            <w:vAlign w:val="center"/>
          </w:tcPr>
          <w:p>
            <w:pPr>
              <w:pStyle w:val="56"/>
              <w:ind w:firstLine="0" w:firstLineChars="0"/>
              <w:jc w:val="center"/>
            </w:pPr>
            <w:r>
              <w:rPr>
                <w:rFonts w:hint="eastAsia"/>
              </w:rPr>
              <w:t>主管签字：</w:t>
            </w:r>
          </w:p>
        </w:tc>
        <w:tc>
          <w:tcPr>
            <w:tcW w:w="1440" w:type="dxa"/>
            <w:tcBorders>
              <w:top w:val="nil"/>
              <w:left w:val="nil"/>
              <w:bottom w:val="nil"/>
              <w:right w:val="nil"/>
            </w:tcBorders>
            <w:noWrap/>
            <w:vAlign w:val="center"/>
          </w:tcPr>
          <w:p>
            <w:pPr>
              <w:pStyle w:val="56"/>
              <w:ind w:firstLine="420"/>
              <w:jc w:val="center"/>
            </w:pPr>
          </w:p>
        </w:tc>
      </w:tr>
    </w:tbl>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tbl>
      <w:tblPr>
        <w:tblStyle w:val="26"/>
        <w:tblpPr w:leftFromText="180" w:rightFromText="180" w:vertAnchor="page" w:horzAnchor="margin" w:tblpY="4333"/>
        <w:tblOverlap w:val="never"/>
        <w:tblW w:w="9640" w:type="dxa"/>
        <w:tblInd w:w="0" w:type="dxa"/>
        <w:tblLayout w:type="fixed"/>
        <w:tblCellMar>
          <w:top w:w="0" w:type="dxa"/>
          <w:left w:w="108" w:type="dxa"/>
          <w:bottom w:w="0" w:type="dxa"/>
          <w:right w:w="108" w:type="dxa"/>
        </w:tblCellMar>
      </w:tblPr>
      <w:tblGrid>
        <w:gridCol w:w="1255"/>
        <w:gridCol w:w="3130"/>
        <w:gridCol w:w="1329"/>
        <w:gridCol w:w="1446"/>
        <w:gridCol w:w="1125"/>
        <w:gridCol w:w="1355"/>
      </w:tblGrid>
      <w:tr>
        <w:tblPrEx>
          <w:tblCellMar>
            <w:top w:w="0" w:type="dxa"/>
            <w:left w:w="108" w:type="dxa"/>
            <w:bottom w:w="0" w:type="dxa"/>
            <w:right w:w="108" w:type="dxa"/>
          </w:tblCellMar>
        </w:tblPrEx>
        <w:trPr>
          <w:trHeight w:val="467"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日期</w:t>
            </w:r>
          </w:p>
        </w:tc>
        <w:tc>
          <w:tcPr>
            <w:tcW w:w="3130"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会议名称</w:t>
            </w:r>
          </w:p>
        </w:tc>
        <w:tc>
          <w:tcPr>
            <w:tcW w:w="1329"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遗落席位</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遗落物品</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领取人</w:t>
            </w:r>
          </w:p>
        </w:tc>
        <w:tc>
          <w:tcPr>
            <w:tcW w:w="1355" w:type="dxa"/>
            <w:tcBorders>
              <w:top w:val="single" w:color="000000" w:sz="4" w:space="0"/>
              <w:left w:val="single" w:color="000000" w:sz="4" w:space="0"/>
              <w:bottom w:val="single" w:color="000000" w:sz="4" w:space="0"/>
              <w:right w:val="single" w:color="000000" w:sz="4" w:space="0"/>
            </w:tcBorders>
            <w:noWrap/>
            <w:vAlign w:val="center"/>
          </w:tcPr>
          <w:p>
            <w:pPr>
              <w:pStyle w:val="56"/>
              <w:ind w:firstLine="0" w:firstLineChars="0"/>
              <w:jc w:val="center"/>
            </w:pPr>
            <w:r>
              <w:rPr>
                <w:rFonts w:hint="eastAsia"/>
              </w:rPr>
              <w:t>领取时间</w:t>
            </w:r>
          </w:p>
        </w:tc>
      </w:tr>
      <w:tr>
        <w:tblPrEx>
          <w:tblCellMar>
            <w:top w:w="0" w:type="dxa"/>
            <w:left w:w="108" w:type="dxa"/>
            <w:bottom w:w="0" w:type="dxa"/>
            <w:right w:w="108" w:type="dxa"/>
          </w:tblCellMar>
        </w:tblPrEx>
        <w:trPr>
          <w:trHeight w:val="467"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3130"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329"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35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r>
      <w:tr>
        <w:tblPrEx>
          <w:tblCellMar>
            <w:top w:w="0" w:type="dxa"/>
            <w:left w:w="108" w:type="dxa"/>
            <w:bottom w:w="0" w:type="dxa"/>
            <w:right w:w="108" w:type="dxa"/>
          </w:tblCellMar>
        </w:tblPrEx>
        <w:trPr>
          <w:trHeight w:val="467"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3130"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329"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35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r>
      <w:tr>
        <w:tblPrEx>
          <w:tblCellMar>
            <w:top w:w="0" w:type="dxa"/>
            <w:left w:w="108" w:type="dxa"/>
            <w:bottom w:w="0" w:type="dxa"/>
            <w:right w:w="108" w:type="dxa"/>
          </w:tblCellMar>
        </w:tblPrEx>
        <w:trPr>
          <w:trHeight w:val="467"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3130"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329"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35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r>
      <w:tr>
        <w:tblPrEx>
          <w:tblCellMar>
            <w:top w:w="0" w:type="dxa"/>
            <w:left w:w="108" w:type="dxa"/>
            <w:bottom w:w="0" w:type="dxa"/>
            <w:right w:w="108" w:type="dxa"/>
          </w:tblCellMar>
        </w:tblPrEx>
        <w:trPr>
          <w:trHeight w:val="467"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3130"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329"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35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r>
      <w:tr>
        <w:tblPrEx>
          <w:tblCellMar>
            <w:top w:w="0" w:type="dxa"/>
            <w:left w:w="108" w:type="dxa"/>
            <w:bottom w:w="0" w:type="dxa"/>
            <w:right w:w="108" w:type="dxa"/>
          </w:tblCellMar>
        </w:tblPrEx>
        <w:trPr>
          <w:trHeight w:val="467"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3130"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329"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35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r>
      <w:tr>
        <w:tblPrEx>
          <w:tblCellMar>
            <w:top w:w="0" w:type="dxa"/>
            <w:left w:w="108" w:type="dxa"/>
            <w:bottom w:w="0" w:type="dxa"/>
            <w:right w:w="108" w:type="dxa"/>
          </w:tblCellMar>
        </w:tblPrEx>
        <w:trPr>
          <w:trHeight w:val="467"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3130"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329"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35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r>
      <w:tr>
        <w:tblPrEx>
          <w:tblCellMar>
            <w:top w:w="0" w:type="dxa"/>
            <w:left w:w="108" w:type="dxa"/>
            <w:bottom w:w="0" w:type="dxa"/>
            <w:right w:w="108" w:type="dxa"/>
          </w:tblCellMar>
        </w:tblPrEx>
        <w:trPr>
          <w:trHeight w:val="467"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3130"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329"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35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r>
      <w:tr>
        <w:tblPrEx>
          <w:tblCellMar>
            <w:top w:w="0" w:type="dxa"/>
            <w:left w:w="108" w:type="dxa"/>
            <w:bottom w:w="0" w:type="dxa"/>
            <w:right w:w="108" w:type="dxa"/>
          </w:tblCellMar>
        </w:tblPrEx>
        <w:trPr>
          <w:trHeight w:val="467"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3130"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329"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35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r>
      <w:tr>
        <w:tblPrEx>
          <w:tblCellMar>
            <w:top w:w="0" w:type="dxa"/>
            <w:left w:w="108" w:type="dxa"/>
            <w:bottom w:w="0" w:type="dxa"/>
            <w:right w:w="108" w:type="dxa"/>
          </w:tblCellMar>
        </w:tblPrEx>
        <w:trPr>
          <w:trHeight w:val="467"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3130"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329"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35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r>
      <w:tr>
        <w:tblPrEx>
          <w:tblCellMar>
            <w:top w:w="0" w:type="dxa"/>
            <w:left w:w="108" w:type="dxa"/>
            <w:bottom w:w="0" w:type="dxa"/>
            <w:right w:w="108" w:type="dxa"/>
          </w:tblCellMar>
        </w:tblPrEx>
        <w:trPr>
          <w:trHeight w:val="467"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3130"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329"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35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r>
      <w:tr>
        <w:tblPrEx>
          <w:tblCellMar>
            <w:top w:w="0" w:type="dxa"/>
            <w:left w:w="108" w:type="dxa"/>
            <w:bottom w:w="0" w:type="dxa"/>
            <w:right w:w="108" w:type="dxa"/>
          </w:tblCellMar>
        </w:tblPrEx>
        <w:trPr>
          <w:trHeight w:val="467"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3130"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329"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35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r>
      <w:tr>
        <w:tblPrEx>
          <w:tblCellMar>
            <w:top w:w="0" w:type="dxa"/>
            <w:left w:w="108" w:type="dxa"/>
            <w:bottom w:w="0" w:type="dxa"/>
            <w:right w:w="108" w:type="dxa"/>
          </w:tblCellMar>
        </w:tblPrEx>
        <w:trPr>
          <w:trHeight w:val="467"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3130"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329"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35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r>
      <w:tr>
        <w:tblPrEx>
          <w:tblCellMar>
            <w:top w:w="0" w:type="dxa"/>
            <w:left w:w="108" w:type="dxa"/>
            <w:bottom w:w="0" w:type="dxa"/>
            <w:right w:w="108" w:type="dxa"/>
          </w:tblCellMar>
        </w:tblPrEx>
        <w:trPr>
          <w:trHeight w:val="467"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3130"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329"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35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r>
      <w:tr>
        <w:tblPrEx>
          <w:tblCellMar>
            <w:top w:w="0" w:type="dxa"/>
            <w:left w:w="108" w:type="dxa"/>
            <w:bottom w:w="0" w:type="dxa"/>
            <w:right w:w="108" w:type="dxa"/>
          </w:tblCellMar>
        </w:tblPrEx>
        <w:trPr>
          <w:trHeight w:val="467"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3130"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329"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35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r>
      <w:tr>
        <w:tblPrEx>
          <w:tblCellMar>
            <w:top w:w="0" w:type="dxa"/>
            <w:left w:w="108" w:type="dxa"/>
            <w:bottom w:w="0" w:type="dxa"/>
            <w:right w:w="108" w:type="dxa"/>
          </w:tblCellMar>
        </w:tblPrEx>
        <w:trPr>
          <w:trHeight w:val="467"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3130"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329"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35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r>
      <w:tr>
        <w:tblPrEx>
          <w:tblCellMar>
            <w:top w:w="0" w:type="dxa"/>
            <w:left w:w="108" w:type="dxa"/>
            <w:bottom w:w="0" w:type="dxa"/>
            <w:right w:w="108" w:type="dxa"/>
          </w:tblCellMar>
        </w:tblPrEx>
        <w:trPr>
          <w:trHeight w:val="467"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3130"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329"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35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r>
      <w:tr>
        <w:tblPrEx>
          <w:tblCellMar>
            <w:top w:w="0" w:type="dxa"/>
            <w:left w:w="108" w:type="dxa"/>
            <w:bottom w:w="0" w:type="dxa"/>
            <w:right w:w="108" w:type="dxa"/>
          </w:tblCellMar>
        </w:tblPrEx>
        <w:trPr>
          <w:trHeight w:val="467"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3130"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329"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35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r>
      <w:tr>
        <w:tblPrEx>
          <w:tblCellMar>
            <w:top w:w="0" w:type="dxa"/>
            <w:left w:w="108" w:type="dxa"/>
            <w:bottom w:w="0" w:type="dxa"/>
            <w:right w:w="108" w:type="dxa"/>
          </w:tblCellMar>
        </w:tblPrEx>
        <w:trPr>
          <w:trHeight w:val="467" w:hRule="atLeast"/>
        </w:trPr>
        <w:tc>
          <w:tcPr>
            <w:tcW w:w="125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3130"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329"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446"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c>
          <w:tcPr>
            <w:tcW w:w="1355" w:type="dxa"/>
            <w:tcBorders>
              <w:top w:val="single" w:color="000000" w:sz="4" w:space="0"/>
              <w:left w:val="single" w:color="000000" w:sz="4" w:space="0"/>
              <w:bottom w:val="single" w:color="000000" w:sz="4" w:space="0"/>
              <w:right w:val="single" w:color="000000" w:sz="4" w:space="0"/>
            </w:tcBorders>
            <w:noWrap/>
            <w:vAlign w:val="center"/>
          </w:tcPr>
          <w:p>
            <w:pPr>
              <w:pStyle w:val="56"/>
              <w:ind w:firstLine="420"/>
            </w:pPr>
          </w:p>
        </w:tc>
      </w:tr>
    </w:tbl>
    <w:p>
      <w:pPr>
        <w:pStyle w:val="56"/>
        <w:ind w:firstLine="420"/>
      </w:pPr>
    </w:p>
    <w:p>
      <w:pPr>
        <w:pStyle w:val="76"/>
        <w:spacing w:after="156"/>
      </w:pPr>
      <w:r>
        <w:br w:type="textWrapping"/>
      </w:r>
      <w:bookmarkStart w:id="252" w:name="_Toc167185131"/>
      <w:bookmarkStart w:id="253" w:name="_Toc167185220"/>
      <w:r>
        <w:rPr>
          <w:rFonts w:hint="eastAsia"/>
        </w:rPr>
        <w:t>（资料性）</w:t>
      </w:r>
      <w:r>
        <w:br w:type="textWrapping"/>
      </w:r>
      <w:r>
        <w:rPr>
          <w:rFonts w:hint="eastAsia"/>
        </w:rPr>
        <w:t>会场遗落物品登记表</w:t>
      </w:r>
      <w:bookmarkEnd w:id="252"/>
      <w:bookmarkEnd w:id="253"/>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0" w:firstLineChars="0"/>
      </w:pPr>
    </w:p>
    <w:p>
      <w:pPr>
        <w:pStyle w:val="76"/>
        <w:spacing w:after="156"/>
      </w:pPr>
      <w:r>
        <w:br w:type="textWrapping"/>
      </w:r>
      <w:bookmarkStart w:id="254" w:name="_Toc167185132"/>
      <w:bookmarkStart w:id="255" w:name="_Toc167185221"/>
      <w:r>
        <w:rPr>
          <w:rFonts w:hint="eastAsia"/>
        </w:rPr>
        <w:t>（资料性）</w:t>
      </w:r>
      <w:r>
        <w:br w:type="textWrapping"/>
      </w:r>
      <w:bookmarkEnd w:id="254"/>
      <w:bookmarkEnd w:id="255"/>
      <w:r>
        <w:rPr>
          <w:rFonts w:hint="eastAsia"/>
        </w:rPr>
        <w:t>会议服务记录表</w:t>
      </w:r>
    </w:p>
    <w:tbl>
      <w:tblPr>
        <w:tblStyle w:val="26"/>
        <w:tblpPr w:leftFromText="180" w:rightFromText="180" w:vertAnchor="page" w:horzAnchor="page" w:tblpX="1369" w:tblpY="3103"/>
        <w:tblOverlap w:val="never"/>
        <w:tblW w:w="9570" w:type="dxa"/>
        <w:tblInd w:w="0" w:type="dxa"/>
        <w:tblLayout w:type="fixed"/>
        <w:tblCellMar>
          <w:top w:w="0" w:type="dxa"/>
          <w:left w:w="108" w:type="dxa"/>
          <w:bottom w:w="0" w:type="dxa"/>
          <w:right w:w="108" w:type="dxa"/>
        </w:tblCellMar>
      </w:tblPr>
      <w:tblGrid>
        <w:gridCol w:w="837"/>
        <w:gridCol w:w="1418"/>
        <w:gridCol w:w="1075"/>
        <w:gridCol w:w="1248"/>
        <w:gridCol w:w="1248"/>
        <w:gridCol w:w="1248"/>
        <w:gridCol w:w="1248"/>
        <w:gridCol w:w="1248"/>
      </w:tblGrid>
      <w:tr>
        <w:tblPrEx>
          <w:tblCellMar>
            <w:top w:w="0" w:type="dxa"/>
            <w:left w:w="108" w:type="dxa"/>
            <w:bottom w:w="0" w:type="dxa"/>
            <w:right w:w="108" w:type="dxa"/>
          </w:tblCellMar>
        </w:tblPrEx>
        <w:trPr>
          <w:trHeight w:val="461" w:hRule="atLeast"/>
        </w:trPr>
        <w:tc>
          <w:tcPr>
            <w:tcW w:w="957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0" w:firstLineChars="0"/>
            </w:pPr>
            <w:r>
              <w:rPr>
                <w:rFonts w:hint="eastAsia"/>
              </w:rPr>
              <w:t>一、会议名称：</w:t>
            </w:r>
          </w:p>
        </w:tc>
      </w:tr>
      <w:tr>
        <w:tblPrEx>
          <w:tblCellMar>
            <w:top w:w="0" w:type="dxa"/>
            <w:left w:w="108" w:type="dxa"/>
            <w:bottom w:w="0" w:type="dxa"/>
            <w:right w:w="108" w:type="dxa"/>
          </w:tblCellMar>
        </w:tblPrEx>
        <w:trPr>
          <w:trHeight w:val="461" w:hRule="atLeast"/>
        </w:trPr>
        <w:tc>
          <w:tcPr>
            <w:tcW w:w="957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0" w:firstLineChars="0"/>
            </w:pPr>
          </w:p>
        </w:tc>
      </w:tr>
      <w:tr>
        <w:tblPrEx>
          <w:tblCellMar>
            <w:top w:w="0" w:type="dxa"/>
            <w:left w:w="108" w:type="dxa"/>
            <w:bottom w:w="0" w:type="dxa"/>
            <w:right w:w="108" w:type="dxa"/>
          </w:tblCellMar>
        </w:tblPrEx>
        <w:trPr>
          <w:trHeight w:val="470" w:hRule="atLeast"/>
        </w:trPr>
        <w:tc>
          <w:tcPr>
            <w:tcW w:w="957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0" w:firstLineChars="0"/>
            </w:pPr>
            <w:r>
              <w:rPr>
                <w:rFonts w:hint="eastAsia"/>
              </w:rPr>
              <w:t>二、会议时间：</w:t>
            </w:r>
          </w:p>
        </w:tc>
      </w:tr>
      <w:tr>
        <w:tblPrEx>
          <w:tblCellMar>
            <w:top w:w="0" w:type="dxa"/>
            <w:left w:w="108" w:type="dxa"/>
            <w:bottom w:w="0" w:type="dxa"/>
            <w:right w:w="108" w:type="dxa"/>
          </w:tblCellMar>
        </w:tblPrEx>
        <w:trPr>
          <w:trHeight w:val="497" w:hRule="atLeast"/>
        </w:trPr>
        <w:tc>
          <w:tcPr>
            <w:tcW w:w="957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0" w:firstLineChars="0"/>
            </w:pPr>
            <w:r>
              <w:rPr>
                <w:rFonts w:hint="eastAsia"/>
              </w:rPr>
              <w:t>三、会议地点：</w:t>
            </w:r>
          </w:p>
        </w:tc>
      </w:tr>
      <w:tr>
        <w:tblPrEx>
          <w:tblCellMar>
            <w:top w:w="0" w:type="dxa"/>
            <w:left w:w="108" w:type="dxa"/>
            <w:bottom w:w="0" w:type="dxa"/>
            <w:right w:w="108" w:type="dxa"/>
          </w:tblCellMar>
        </w:tblPrEx>
        <w:trPr>
          <w:trHeight w:val="490" w:hRule="atLeast"/>
        </w:trPr>
        <w:tc>
          <w:tcPr>
            <w:tcW w:w="957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0" w:firstLineChars="0"/>
            </w:pPr>
            <w:r>
              <w:rPr>
                <w:rFonts w:hint="eastAsia"/>
              </w:rPr>
              <w:t>四、会议服务人员：</w:t>
            </w:r>
          </w:p>
        </w:tc>
      </w:tr>
      <w:tr>
        <w:tblPrEx>
          <w:tblCellMar>
            <w:top w:w="0" w:type="dxa"/>
            <w:left w:w="108" w:type="dxa"/>
            <w:bottom w:w="0" w:type="dxa"/>
            <w:right w:w="108" w:type="dxa"/>
          </w:tblCellMar>
        </w:tblPrEx>
        <w:trPr>
          <w:trHeight w:val="425"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0" w:firstLineChars="0"/>
              <w:jc w:val="center"/>
            </w:pPr>
            <w:r>
              <w:rPr>
                <w:rFonts w:hint="eastAsia"/>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0" w:firstLineChars="0"/>
            </w:pPr>
            <w:r>
              <w:rPr>
                <w:rFonts w:hint="eastAsia"/>
              </w:rPr>
              <w:t>会议主管：</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420"/>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420"/>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420"/>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420"/>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420"/>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420"/>
            </w:pPr>
          </w:p>
        </w:tc>
      </w:tr>
      <w:tr>
        <w:tblPrEx>
          <w:tblCellMar>
            <w:top w:w="0" w:type="dxa"/>
            <w:left w:w="108" w:type="dxa"/>
            <w:bottom w:w="0" w:type="dxa"/>
            <w:right w:w="108" w:type="dxa"/>
          </w:tblCellMar>
        </w:tblPrEx>
        <w:trPr>
          <w:trHeight w:val="49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0" w:firstLineChars="0"/>
              <w:jc w:val="center"/>
            </w:pPr>
            <w:r>
              <w:rPr>
                <w:rFonts w:hint="eastAsia"/>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0" w:firstLineChars="0"/>
            </w:pPr>
            <w:r>
              <w:rPr>
                <w:rFonts w:hint="eastAsia"/>
              </w:rPr>
              <w:t>会议音响：</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420"/>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420"/>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420"/>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420"/>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420"/>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420"/>
            </w:pPr>
          </w:p>
        </w:tc>
      </w:tr>
      <w:tr>
        <w:tblPrEx>
          <w:tblCellMar>
            <w:top w:w="0" w:type="dxa"/>
            <w:left w:w="108" w:type="dxa"/>
            <w:bottom w:w="0" w:type="dxa"/>
            <w:right w:w="108" w:type="dxa"/>
          </w:tblCellMar>
        </w:tblPrEx>
        <w:trPr>
          <w:trHeight w:val="490" w:hRule="atLeast"/>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0" w:firstLineChars="0"/>
              <w:jc w:val="center"/>
            </w:pPr>
            <w:r>
              <w:rPr>
                <w:rFonts w:hint="eastAsia"/>
              </w:rPr>
              <w:t>3</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0" w:firstLineChars="0"/>
            </w:pPr>
            <w:r>
              <w:rPr>
                <w:rFonts w:hint="eastAsia"/>
              </w:rPr>
              <w:t>会议服务：</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0" w:firstLineChars="0"/>
              <w:rPr>
                <w:rFonts w:hint="eastAsia"/>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420"/>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420"/>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420"/>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420"/>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420"/>
            </w:pPr>
          </w:p>
        </w:tc>
      </w:tr>
      <w:tr>
        <w:tblPrEx>
          <w:tblCellMar>
            <w:top w:w="0" w:type="dxa"/>
            <w:left w:w="108" w:type="dxa"/>
            <w:bottom w:w="0" w:type="dxa"/>
            <w:right w:w="108" w:type="dxa"/>
          </w:tblCellMar>
        </w:tblPrEx>
        <w:trPr>
          <w:trHeight w:val="49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420"/>
              <w:jc w:val="cente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420"/>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420"/>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420"/>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420"/>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420"/>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420"/>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420"/>
            </w:pPr>
          </w:p>
        </w:tc>
      </w:tr>
      <w:tr>
        <w:tblPrEx>
          <w:tblCellMar>
            <w:top w:w="0" w:type="dxa"/>
            <w:left w:w="108" w:type="dxa"/>
            <w:bottom w:w="0" w:type="dxa"/>
            <w:right w:w="108" w:type="dxa"/>
          </w:tblCellMar>
        </w:tblPrEx>
        <w:trPr>
          <w:trHeight w:val="49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0" w:firstLineChars="0"/>
              <w:jc w:val="center"/>
            </w:pPr>
            <w:r>
              <w:rPr>
                <w:rFonts w:hint="eastAsia"/>
              </w:rPr>
              <w:t>4</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0" w:firstLineChars="0"/>
            </w:pPr>
            <w:r>
              <w:rPr>
                <w:rFonts w:hint="eastAsia"/>
              </w:rPr>
              <w:t>会议保洁：</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420"/>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420"/>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420"/>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420"/>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420"/>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420"/>
            </w:pPr>
          </w:p>
        </w:tc>
      </w:tr>
      <w:tr>
        <w:tblPrEx>
          <w:tblCellMar>
            <w:top w:w="0" w:type="dxa"/>
            <w:left w:w="108" w:type="dxa"/>
            <w:bottom w:w="0" w:type="dxa"/>
            <w:right w:w="108" w:type="dxa"/>
          </w:tblCellMar>
        </w:tblPrEx>
        <w:trPr>
          <w:trHeight w:val="49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0" w:firstLineChars="0"/>
              <w:jc w:val="center"/>
            </w:pPr>
            <w:r>
              <w:rPr>
                <w:rFonts w:hint="eastAsia"/>
              </w:rPr>
              <w:t>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0" w:firstLineChars="0"/>
            </w:pPr>
            <w:r>
              <w:rPr>
                <w:rFonts w:hint="eastAsia"/>
              </w:rPr>
              <w:t>其他人员：</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420"/>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420"/>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420"/>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420"/>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420"/>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420"/>
            </w:pPr>
          </w:p>
        </w:tc>
      </w:tr>
      <w:tr>
        <w:tblPrEx>
          <w:tblCellMar>
            <w:top w:w="0" w:type="dxa"/>
            <w:left w:w="108" w:type="dxa"/>
            <w:bottom w:w="0" w:type="dxa"/>
            <w:right w:w="108" w:type="dxa"/>
          </w:tblCellMar>
        </w:tblPrEx>
        <w:trPr>
          <w:trHeight w:val="490" w:hRule="atLeast"/>
        </w:trPr>
        <w:tc>
          <w:tcPr>
            <w:tcW w:w="957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0" w:firstLineChars="0"/>
            </w:pPr>
            <w:r>
              <w:rPr>
                <w:rFonts w:hint="eastAsia"/>
              </w:rPr>
              <w:t>五、会议物品使用数量</w:t>
            </w:r>
          </w:p>
        </w:tc>
      </w:tr>
      <w:tr>
        <w:tblPrEx>
          <w:tblCellMar>
            <w:top w:w="0" w:type="dxa"/>
            <w:left w:w="108" w:type="dxa"/>
            <w:bottom w:w="0" w:type="dxa"/>
            <w:right w:w="108" w:type="dxa"/>
          </w:tblCellMar>
        </w:tblPrEx>
        <w:trPr>
          <w:trHeight w:val="490" w:hRule="atLeast"/>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ind w:firstLine="0" w:firstLineChars="0"/>
              <w:jc w:val="center"/>
            </w:pPr>
            <w:r>
              <w:rPr>
                <w:rFonts w:hint="eastAsia"/>
              </w:rPr>
              <w:t>数量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0" w:firstLineChars="0"/>
              <w:jc w:val="center"/>
            </w:pPr>
            <w:r>
              <w:rPr>
                <w:rFonts w:hint="eastAsia"/>
              </w:rPr>
              <w:t>席卡：</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0" w:firstLineChars="0"/>
              <w:jc w:val="center"/>
            </w:pPr>
            <w:r>
              <w:rPr>
                <w:rFonts w:hint="eastAsia"/>
              </w:rPr>
              <w:t>抽纸：</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0" w:firstLineChars="0"/>
              <w:jc w:val="center"/>
            </w:pPr>
            <w:r>
              <w:rPr>
                <w:rFonts w:hint="eastAsia"/>
              </w:rPr>
              <w:t>毛巾：</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0" w:firstLineChars="0"/>
              <w:jc w:val="center"/>
            </w:pPr>
            <w:r>
              <w:rPr>
                <w:rFonts w:hint="eastAsia"/>
              </w:rPr>
              <w:t>矿泉水：</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0" w:firstLineChars="0"/>
              <w:jc w:val="center"/>
            </w:pPr>
            <w:r>
              <w:rPr>
                <w:rFonts w:hint="eastAsia"/>
              </w:rPr>
              <w:t>保温壶：</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0" w:firstLineChars="0"/>
              <w:jc w:val="center"/>
            </w:pPr>
            <w:r>
              <w:rPr>
                <w:rFonts w:hint="eastAsia"/>
              </w:rPr>
              <w:t>湿纸巾：</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0" w:firstLineChars="0"/>
              <w:jc w:val="center"/>
            </w:pPr>
            <w:r>
              <w:rPr>
                <w:rFonts w:hint="eastAsia"/>
              </w:rPr>
              <w:t>记事本：</w:t>
            </w:r>
          </w:p>
        </w:tc>
      </w:tr>
      <w:tr>
        <w:tblPrEx>
          <w:tblCellMar>
            <w:top w:w="0" w:type="dxa"/>
            <w:left w:w="108" w:type="dxa"/>
            <w:bottom w:w="0" w:type="dxa"/>
            <w:right w:w="108" w:type="dxa"/>
          </w:tblCellMar>
        </w:tblPrEx>
        <w:trPr>
          <w:trHeight w:val="507"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ind w:firstLine="420"/>
              <w:jc w:val="cente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0" w:firstLineChars="0"/>
              <w:jc w:val="center"/>
            </w:pPr>
            <w:r>
              <w:rPr>
                <w:rFonts w:hint="eastAsia"/>
              </w:rPr>
              <w:t>黑笔：</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0" w:firstLineChars="0"/>
              <w:jc w:val="center"/>
            </w:pPr>
            <w:r>
              <w:rPr>
                <w:rFonts w:hint="eastAsia"/>
              </w:rPr>
              <w:t>红笔：</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0" w:firstLineChars="0"/>
              <w:jc w:val="center"/>
            </w:pPr>
            <w:r>
              <w:rPr>
                <w:rFonts w:hint="eastAsia"/>
              </w:rPr>
              <w:t>湿纸巾：</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0" w:firstLineChars="0"/>
              <w:jc w:val="center"/>
            </w:pPr>
            <w:r>
              <w:rPr>
                <w:rFonts w:hint="eastAsia"/>
              </w:rPr>
              <w:t>大瓷杯：</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0" w:firstLineChars="0"/>
              <w:jc w:val="center"/>
            </w:pPr>
            <w:r>
              <w:rPr>
                <w:rFonts w:hint="eastAsia"/>
              </w:rPr>
              <w:t>小瓷杯：</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0" w:firstLineChars="0"/>
              <w:jc w:val="center"/>
            </w:pPr>
            <w:r>
              <w:rPr>
                <w:rFonts w:hint="eastAsia"/>
              </w:rPr>
              <w:t>烟灰缸：</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6"/>
              <w:ind w:firstLine="420"/>
              <w:jc w:val="center"/>
            </w:pPr>
          </w:p>
        </w:tc>
      </w:tr>
      <w:tr>
        <w:tblPrEx>
          <w:tblCellMar>
            <w:top w:w="0" w:type="dxa"/>
            <w:left w:w="108" w:type="dxa"/>
            <w:bottom w:w="0" w:type="dxa"/>
            <w:right w:w="108" w:type="dxa"/>
          </w:tblCellMar>
        </w:tblPrEx>
        <w:trPr>
          <w:trHeight w:val="490" w:hRule="atLeast"/>
        </w:trPr>
        <w:tc>
          <w:tcPr>
            <w:tcW w:w="9570" w:type="dxa"/>
            <w:gridSpan w:val="8"/>
            <w:tcBorders>
              <w:top w:val="single" w:color="000000" w:sz="4" w:space="0"/>
              <w:left w:val="single" w:color="000000" w:sz="4" w:space="0"/>
              <w:bottom w:val="single" w:color="000000" w:sz="4" w:space="0"/>
              <w:right w:val="single" w:color="000000" w:sz="4" w:space="0"/>
            </w:tcBorders>
            <w:shd w:val="clear" w:color="auto" w:fill="auto"/>
            <w:noWrap/>
          </w:tcPr>
          <w:p>
            <w:pPr>
              <w:pStyle w:val="56"/>
              <w:ind w:firstLine="0" w:firstLineChars="0"/>
            </w:pPr>
            <w:r>
              <w:rPr>
                <w:rFonts w:hint="eastAsia"/>
              </w:rPr>
              <w:t>备注：</w:t>
            </w:r>
          </w:p>
        </w:tc>
      </w:tr>
      <w:tr>
        <w:tblPrEx>
          <w:tblCellMar>
            <w:top w:w="0" w:type="dxa"/>
            <w:left w:w="108" w:type="dxa"/>
            <w:bottom w:w="0" w:type="dxa"/>
            <w:right w:w="108" w:type="dxa"/>
          </w:tblCellMar>
        </w:tblPrEx>
        <w:trPr>
          <w:trHeight w:val="490" w:hRule="atLeast"/>
        </w:trPr>
        <w:tc>
          <w:tcPr>
            <w:tcW w:w="957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noWrap/>
          </w:tcPr>
          <w:p>
            <w:pPr>
              <w:pStyle w:val="56"/>
              <w:ind w:firstLine="0" w:firstLineChars="0"/>
            </w:pPr>
            <w:r>
              <w:rPr>
                <w:rFonts w:hint="eastAsia"/>
              </w:rPr>
              <w:t>六、会议保障情况</w:t>
            </w:r>
          </w:p>
        </w:tc>
      </w:tr>
      <w:tr>
        <w:tblPrEx>
          <w:tblCellMar>
            <w:top w:w="0" w:type="dxa"/>
            <w:left w:w="108" w:type="dxa"/>
            <w:bottom w:w="0" w:type="dxa"/>
            <w:right w:w="108" w:type="dxa"/>
          </w:tblCellMar>
        </w:tblPrEx>
        <w:trPr>
          <w:trHeight w:val="490" w:hRule="atLeast"/>
        </w:trPr>
        <w:tc>
          <w:tcPr>
            <w:tcW w:w="957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noWrap/>
          </w:tcPr>
          <w:p>
            <w:pPr>
              <w:pStyle w:val="56"/>
              <w:ind w:firstLine="420"/>
            </w:pPr>
          </w:p>
        </w:tc>
      </w:tr>
      <w:tr>
        <w:tblPrEx>
          <w:tblCellMar>
            <w:top w:w="0" w:type="dxa"/>
            <w:left w:w="108" w:type="dxa"/>
            <w:bottom w:w="0" w:type="dxa"/>
            <w:right w:w="108" w:type="dxa"/>
          </w:tblCellMar>
        </w:tblPrEx>
        <w:trPr>
          <w:trHeight w:val="490" w:hRule="atLeast"/>
        </w:trPr>
        <w:tc>
          <w:tcPr>
            <w:tcW w:w="957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noWrap/>
          </w:tcPr>
          <w:p>
            <w:pPr>
              <w:pStyle w:val="56"/>
              <w:ind w:firstLine="420"/>
            </w:pPr>
          </w:p>
        </w:tc>
      </w:tr>
      <w:tr>
        <w:tblPrEx>
          <w:tblCellMar>
            <w:top w:w="0" w:type="dxa"/>
            <w:left w:w="108" w:type="dxa"/>
            <w:bottom w:w="0" w:type="dxa"/>
            <w:right w:w="108" w:type="dxa"/>
          </w:tblCellMar>
        </w:tblPrEx>
        <w:trPr>
          <w:trHeight w:val="490" w:hRule="atLeast"/>
        </w:trPr>
        <w:tc>
          <w:tcPr>
            <w:tcW w:w="957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noWrap/>
          </w:tcPr>
          <w:p>
            <w:pPr>
              <w:pStyle w:val="56"/>
              <w:ind w:firstLine="420"/>
            </w:pPr>
          </w:p>
        </w:tc>
      </w:tr>
      <w:tr>
        <w:tblPrEx>
          <w:tblCellMar>
            <w:top w:w="0" w:type="dxa"/>
            <w:left w:w="108" w:type="dxa"/>
            <w:bottom w:w="0" w:type="dxa"/>
            <w:right w:w="108" w:type="dxa"/>
          </w:tblCellMar>
        </w:tblPrEx>
        <w:trPr>
          <w:trHeight w:val="490" w:hRule="atLeast"/>
        </w:trPr>
        <w:tc>
          <w:tcPr>
            <w:tcW w:w="957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noWrap/>
          </w:tcPr>
          <w:p>
            <w:pPr>
              <w:pStyle w:val="56"/>
              <w:ind w:firstLine="420"/>
            </w:pPr>
          </w:p>
        </w:tc>
      </w:tr>
      <w:tr>
        <w:tblPrEx>
          <w:tblCellMar>
            <w:top w:w="0" w:type="dxa"/>
            <w:left w:w="108" w:type="dxa"/>
            <w:bottom w:w="0" w:type="dxa"/>
            <w:right w:w="108" w:type="dxa"/>
          </w:tblCellMar>
        </w:tblPrEx>
        <w:trPr>
          <w:trHeight w:val="490" w:hRule="atLeast"/>
        </w:trPr>
        <w:tc>
          <w:tcPr>
            <w:tcW w:w="957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noWrap/>
          </w:tcPr>
          <w:p>
            <w:pPr>
              <w:pStyle w:val="56"/>
              <w:ind w:firstLine="420"/>
            </w:pPr>
          </w:p>
        </w:tc>
      </w:tr>
      <w:tr>
        <w:tblPrEx>
          <w:tblCellMar>
            <w:top w:w="0" w:type="dxa"/>
            <w:left w:w="108" w:type="dxa"/>
            <w:bottom w:w="0" w:type="dxa"/>
            <w:right w:w="108" w:type="dxa"/>
          </w:tblCellMar>
        </w:tblPrEx>
        <w:trPr>
          <w:trHeight w:val="312" w:hRule="atLeast"/>
        </w:trPr>
        <w:tc>
          <w:tcPr>
            <w:tcW w:w="957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noWrap/>
          </w:tcPr>
          <w:p>
            <w:pPr>
              <w:pStyle w:val="56"/>
              <w:ind w:firstLine="420"/>
            </w:pPr>
          </w:p>
        </w:tc>
      </w:tr>
      <w:tr>
        <w:tblPrEx>
          <w:tblCellMar>
            <w:top w:w="0" w:type="dxa"/>
            <w:left w:w="108" w:type="dxa"/>
            <w:bottom w:w="0" w:type="dxa"/>
            <w:right w:w="108" w:type="dxa"/>
          </w:tblCellMar>
        </w:tblPrEx>
        <w:trPr>
          <w:trHeight w:val="490" w:hRule="atLeast"/>
        </w:trPr>
        <w:tc>
          <w:tcPr>
            <w:tcW w:w="9570" w:type="dxa"/>
            <w:gridSpan w:val="8"/>
            <w:tcBorders>
              <w:top w:val="nil"/>
              <w:left w:val="nil"/>
              <w:bottom w:val="nil"/>
              <w:right w:val="nil"/>
            </w:tcBorders>
            <w:shd w:val="clear" w:color="auto" w:fill="auto"/>
            <w:noWrap/>
            <w:vAlign w:val="center"/>
          </w:tcPr>
          <w:p>
            <w:pPr>
              <w:pStyle w:val="56"/>
              <w:ind w:firstLine="420"/>
            </w:pPr>
            <w:r>
              <w:rPr>
                <w:rFonts w:hint="eastAsia"/>
              </w:rPr>
              <w:t xml:space="preserve">                                    </w:t>
            </w:r>
            <w:r>
              <w:rPr>
                <w:lang w:val="en"/>
              </w:rPr>
              <w:t xml:space="preserve">                       </w:t>
            </w:r>
            <w:r>
              <w:rPr>
                <w:rFonts w:hint="eastAsia"/>
              </w:rPr>
              <w:t xml:space="preserve"> 记录人： </w:t>
            </w:r>
          </w:p>
        </w:tc>
      </w:tr>
    </w:tbl>
    <w:p>
      <w:pPr>
        <w:pStyle w:val="56"/>
        <w:ind w:firstLine="420"/>
      </w:pPr>
    </w:p>
    <w:p>
      <w:pPr>
        <w:widowControl/>
        <w:adjustRightInd/>
        <w:spacing w:line="240" w:lineRule="auto"/>
        <w:jc w:val="left"/>
        <w:rPr>
          <w:rFonts w:ascii="宋体" w:hAnsi="Times New Roman"/>
          <w:kern w:val="0"/>
          <w:szCs w:val="20"/>
        </w:rPr>
      </w:pPr>
      <w:r>
        <w:rPr>
          <w:rFonts w:ascii="宋体" w:hAnsi="Times New Roman"/>
          <w:kern w:val="0"/>
          <w:szCs w:val="20"/>
        </w:rPr>
        <w:br w:type="page"/>
      </w:r>
    </w:p>
    <w:p>
      <w:pPr>
        <w:widowControl/>
        <w:adjustRightInd/>
        <w:spacing w:line="240" w:lineRule="auto"/>
        <w:jc w:val="left"/>
        <w:rPr>
          <w:rFonts w:ascii="宋体" w:hAnsi="Times New Roman"/>
          <w:kern w:val="0"/>
          <w:szCs w:val="20"/>
        </w:rPr>
      </w:pPr>
    </w:p>
    <w:p>
      <w:pPr>
        <w:pStyle w:val="76"/>
        <w:spacing w:after="156"/>
      </w:pPr>
      <w:r>
        <w:br w:type="textWrapping"/>
      </w:r>
      <w:bookmarkStart w:id="256" w:name="_Toc167185222"/>
      <w:bookmarkStart w:id="257" w:name="_Toc167185133"/>
      <w:r>
        <w:rPr>
          <w:rFonts w:hint="eastAsia"/>
        </w:rPr>
        <w:t>（资料性）</w:t>
      </w:r>
      <w:r>
        <w:br w:type="textWrapping"/>
      </w:r>
      <w:r>
        <w:rPr>
          <w:rFonts w:hint="eastAsia"/>
        </w:rPr>
        <w:t>会议服务意见反馈表</w:t>
      </w:r>
      <w:bookmarkEnd w:id="256"/>
      <w:bookmarkEnd w:id="257"/>
    </w:p>
    <w:tbl>
      <w:tblPr>
        <w:tblStyle w:val="26"/>
        <w:tblW w:w="9513" w:type="dxa"/>
        <w:tblInd w:w="-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31"/>
        <w:gridCol w:w="1650"/>
        <w:gridCol w:w="1361"/>
        <w:gridCol w:w="1845"/>
        <w:gridCol w:w="1279"/>
        <w:gridCol w:w="184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9513" w:type="dxa"/>
            <w:gridSpan w:val="6"/>
            <w:tcBorders>
              <w:bottom w:val="single" w:color="000000" w:sz="2" w:space="0"/>
            </w:tcBorders>
          </w:tcPr>
          <w:p>
            <w:pPr>
              <w:rPr>
                <w:rFonts w:ascii="宋体" w:hAnsi="宋体"/>
              </w:rPr>
            </w:pPr>
            <w:r>
              <w:rPr>
                <w:rFonts w:hint="eastAsia" w:ascii="宋体" w:hAnsi="宋体"/>
              </w:rPr>
              <w:t>会议名称</w:t>
            </w:r>
          </w:p>
          <w:p>
            <w:pPr>
              <w:rPr>
                <w:rFonts w:ascii="宋体" w:hAnsi="宋体"/>
              </w:rPr>
            </w:pPr>
            <w:r>
              <w:rPr>
                <w:rFonts w:hint="eastAsia" w:ascii="宋体" w:hAnsi="宋体"/>
              </w:rPr>
              <w:t>会议日期：      年</w:t>
            </w:r>
            <w:r>
              <w:rPr>
                <w:rFonts w:hint="eastAsia" w:ascii="宋体" w:hAnsi="宋体"/>
              </w:rPr>
              <w:tab/>
            </w:r>
            <w:r>
              <w:rPr>
                <w:rFonts w:hint="eastAsia" w:ascii="宋体" w:hAnsi="宋体"/>
              </w:rPr>
              <w:t xml:space="preserve">   月</w:t>
            </w:r>
            <w:r>
              <w:rPr>
                <w:rFonts w:hint="eastAsia" w:ascii="宋体" w:hAnsi="宋体"/>
              </w:rPr>
              <w:tab/>
            </w:r>
            <w:r>
              <w:rPr>
                <w:rFonts w:hint="eastAsia" w:ascii="宋体" w:hAnsi="宋体"/>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4" w:hRule="atLeast"/>
        </w:trPr>
        <w:tc>
          <w:tcPr>
            <w:tcW w:w="1531" w:type="dxa"/>
            <w:tcBorders>
              <w:top w:val="single" w:color="000000" w:sz="2" w:space="0"/>
              <w:bottom w:val="single" w:color="000000" w:sz="2" w:space="0"/>
              <w:right w:val="single" w:color="000000" w:sz="2" w:space="0"/>
            </w:tcBorders>
          </w:tcPr>
          <w:p>
            <w:pPr>
              <w:rPr>
                <w:rFonts w:ascii="宋体" w:hAnsi="宋体"/>
              </w:rPr>
            </w:pPr>
            <w:r>
              <w:rPr>
                <w:rFonts w:hint="eastAsia" w:ascii="宋体" w:hAnsi="宋体"/>
              </w:rPr>
              <w:t xml:space="preserve">  会议主办部门</w:t>
            </w:r>
          </w:p>
        </w:tc>
        <w:tc>
          <w:tcPr>
            <w:tcW w:w="1650" w:type="dxa"/>
            <w:tcBorders>
              <w:top w:val="single" w:color="000000" w:sz="2" w:space="0"/>
              <w:left w:val="single" w:color="000000" w:sz="2" w:space="0"/>
              <w:bottom w:val="single" w:color="000000" w:sz="2" w:space="0"/>
              <w:right w:val="single" w:color="000000" w:sz="2" w:space="0"/>
            </w:tcBorders>
          </w:tcPr>
          <w:p>
            <w:pPr>
              <w:rPr>
                <w:rFonts w:ascii="宋体" w:hAnsi="宋体"/>
              </w:rPr>
            </w:pPr>
          </w:p>
        </w:tc>
        <w:tc>
          <w:tcPr>
            <w:tcW w:w="1361" w:type="dxa"/>
            <w:tcBorders>
              <w:top w:val="single" w:color="000000" w:sz="2" w:space="0"/>
              <w:left w:val="single" w:color="000000" w:sz="2" w:space="0"/>
              <w:bottom w:val="single" w:color="000000" w:sz="2" w:space="0"/>
              <w:right w:val="single" w:color="000000" w:sz="2" w:space="0"/>
            </w:tcBorders>
          </w:tcPr>
          <w:p>
            <w:pPr>
              <w:rPr>
                <w:rFonts w:ascii="宋体" w:hAnsi="宋体"/>
              </w:rPr>
            </w:pPr>
            <w:r>
              <w:rPr>
                <w:rFonts w:hint="eastAsia" w:ascii="宋体" w:hAnsi="宋体"/>
              </w:rPr>
              <w:t>联系人</w:t>
            </w:r>
          </w:p>
        </w:tc>
        <w:tc>
          <w:tcPr>
            <w:tcW w:w="1845" w:type="dxa"/>
            <w:tcBorders>
              <w:top w:val="single" w:color="000000" w:sz="2" w:space="0"/>
              <w:left w:val="single" w:color="000000" w:sz="2" w:space="0"/>
              <w:bottom w:val="single" w:color="000000" w:sz="2" w:space="0"/>
              <w:right w:val="single" w:color="000000" w:sz="2" w:space="0"/>
            </w:tcBorders>
          </w:tcPr>
          <w:p>
            <w:pPr>
              <w:rPr>
                <w:rFonts w:ascii="宋体" w:hAnsi="宋体"/>
              </w:rPr>
            </w:pPr>
          </w:p>
        </w:tc>
        <w:tc>
          <w:tcPr>
            <w:tcW w:w="1279" w:type="dxa"/>
            <w:tcBorders>
              <w:top w:val="single" w:color="000000" w:sz="2" w:space="0"/>
              <w:left w:val="single" w:color="000000" w:sz="2" w:space="0"/>
              <w:bottom w:val="single" w:color="000000" w:sz="2" w:space="0"/>
              <w:right w:val="single" w:color="000000" w:sz="2" w:space="0"/>
            </w:tcBorders>
          </w:tcPr>
          <w:p>
            <w:pPr>
              <w:rPr>
                <w:rFonts w:ascii="宋体" w:hAnsi="宋体"/>
              </w:rPr>
            </w:pPr>
            <w:r>
              <w:rPr>
                <w:rFonts w:hint="eastAsia" w:ascii="宋体" w:hAnsi="宋体"/>
              </w:rPr>
              <w:t>联系电话</w:t>
            </w:r>
          </w:p>
        </w:tc>
        <w:tc>
          <w:tcPr>
            <w:tcW w:w="1847" w:type="dxa"/>
            <w:tcBorders>
              <w:top w:val="single" w:color="000000" w:sz="2" w:space="0"/>
              <w:left w:val="single" w:color="000000" w:sz="2" w:space="0"/>
              <w:bottom w:val="single" w:color="000000" w:sz="2" w:space="0"/>
            </w:tcBorders>
          </w:tcPr>
          <w:p>
            <w:pPr>
              <w:rPr>
                <w:rFonts w:ascii="宋体" w:hAnsi="宋体"/>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2" w:hRule="atLeast"/>
        </w:trPr>
        <w:tc>
          <w:tcPr>
            <w:tcW w:w="1531" w:type="dxa"/>
            <w:vMerge w:val="restart"/>
            <w:tcBorders>
              <w:top w:val="single" w:color="000000" w:sz="2" w:space="0"/>
              <w:bottom w:val="single" w:color="000000" w:sz="2" w:space="0"/>
              <w:right w:val="single" w:color="000000" w:sz="2" w:space="0"/>
            </w:tcBorders>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hint="eastAsia" w:ascii="宋体" w:hAnsi="宋体"/>
              </w:rPr>
              <w:t>调查内容</w:t>
            </w:r>
          </w:p>
        </w:tc>
        <w:tc>
          <w:tcPr>
            <w:tcW w:w="1650" w:type="dxa"/>
            <w:tcBorders>
              <w:top w:val="single" w:color="000000" w:sz="2" w:space="0"/>
              <w:left w:val="single" w:color="000000" w:sz="2" w:space="0"/>
              <w:bottom w:val="single" w:color="000000" w:sz="2" w:space="0"/>
              <w:right w:val="single" w:color="000000" w:sz="2" w:space="0"/>
            </w:tcBorders>
          </w:tcPr>
          <w:p>
            <w:pPr>
              <w:rPr>
                <w:rFonts w:ascii="宋体" w:hAnsi="宋体"/>
              </w:rPr>
            </w:pPr>
          </w:p>
          <w:p>
            <w:pPr>
              <w:rPr>
                <w:rFonts w:ascii="宋体" w:hAnsi="宋体"/>
              </w:rPr>
            </w:pPr>
            <w:r>
              <w:rPr>
                <w:rFonts w:hint="eastAsia" w:ascii="宋体" w:hAnsi="宋体"/>
              </w:rPr>
              <w:t>会议服务态度</w:t>
            </w:r>
          </w:p>
        </w:tc>
        <w:tc>
          <w:tcPr>
            <w:tcW w:w="6332" w:type="dxa"/>
            <w:gridSpan w:val="4"/>
            <w:tcBorders>
              <w:top w:val="single" w:color="000000" w:sz="2" w:space="0"/>
              <w:left w:val="single" w:color="000000" w:sz="2" w:space="0"/>
              <w:bottom w:val="single" w:color="000000" w:sz="2" w:space="0"/>
            </w:tcBorders>
          </w:tcPr>
          <w:p>
            <w:pPr>
              <w:rPr>
                <w:rFonts w:ascii="宋体" w:hAnsi="宋体"/>
              </w:rPr>
            </w:pPr>
          </w:p>
          <w:p>
            <w:pPr>
              <w:rPr>
                <w:rFonts w:ascii="宋体" w:hAnsi="宋体"/>
              </w:rPr>
            </w:pPr>
            <w:r>
              <w:rPr>
                <w:rFonts w:hint="eastAsia" w:ascii="宋体" w:hAnsi="宋体"/>
              </w:rPr>
              <w:t>满意</w:t>
            </w:r>
            <w:r>
              <w:rPr>
                <w:rFonts w:hint="eastAsia" w:ascii="宋体" w:hAnsi="宋体"/>
              </w:rPr>
              <w:tab/>
            </w:r>
            <w:r>
              <w:rPr>
                <w:rFonts w:ascii="Segoe UI Symbol" w:hAnsi="Segoe UI Symbol" w:cs="Segoe UI Symbol"/>
              </w:rPr>
              <w:t>☐</w:t>
            </w:r>
            <w:r>
              <w:rPr>
                <w:rFonts w:hint="eastAsia" w:ascii="宋体" w:hAnsi="宋体" w:cs="宋体"/>
              </w:rPr>
              <w:t>较好</w:t>
            </w:r>
            <w:r>
              <w:rPr>
                <w:rFonts w:hint="eastAsia" w:ascii="宋体" w:hAnsi="宋体"/>
              </w:rPr>
              <w:tab/>
            </w:r>
            <w:r>
              <w:rPr>
                <w:rFonts w:ascii="Segoe UI Symbol" w:hAnsi="Segoe UI Symbol" w:cs="Segoe UI Symbol"/>
              </w:rPr>
              <w:t>☐</w:t>
            </w:r>
            <w:r>
              <w:rPr>
                <w:rFonts w:hint="eastAsia" w:ascii="宋体" w:hAnsi="宋体" w:cs="宋体"/>
              </w:rPr>
              <w:t>—般</w:t>
            </w:r>
            <w:r>
              <w:rPr>
                <w:rFonts w:hint="eastAsia" w:ascii="宋体" w:hAnsi="宋体"/>
              </w:rPr>
              <w:tab/>
            </w:r>
            <w:r>
              <w:rPr>
                <w:rFonts w:ascii="Segoe UI Symbol" w:hAnsi="Segoe UI Symbol" w:cs="Segoe UI Symbol"/>
              </w:rPr>
              <w:t>☐</w:t>
            </w:r>
            <w:r>
              <w:rPr>
                <w:rFonts w:hint="eastAsia" w:ascii="宋体" w:hAnsi="宋体" w:cs="宋体"/>
              </w:rPr>
              <w:t>不满意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2" w:hRule="atLeast"/>
        </w:trPr>
        <w:tc>
          <w:tcPr>
            <w:tcW w:w="1531" w:type="dxa"/>
            <w:vMerge w:val="continue"/>
            <w:tcBorders>
              <w:top w:val="nil"/>
              <w:bottom w:val="single" w:color="000000" w:sz="2" w:space="0"/>
              <w:right w:val="single" w:color="000000" w:sz="2" w:space="0"/>
            </w:tcBorders>
          </w:tcPr>
          <w:p>
            <w:pPr>
              <w:rPr>
                <w:rFonts w:ascii="宋体" w:hAnsi="宋体"/>
              </w:rPr>
            </w:pPr>
          </w:p>
        </w:tc>
        <w:tc>
          <w:tcPr>
            <w:tcW w:w="1650" w:type="dxa"/>
            <w:tcBorders>
              <w:top w:val="single" w:color="000000" w:sz="2" w:space="0"/>
              <w:left w:val="single" w:color="000000" w:sz="2" w:space="0"/>
              <w:bottom w:val="single" w:color="000000" w:sz="2" w:space="0"/>
              <w:right w:val="single" w:color="000000" w:sz="2" w:space="0"/>
            </w:tcBorders>
          </w:tcPr>
          <w:p>
            <w:pPr>
              <w:rPr>
                <w:rFonts w:ascii="宋体" w:hAnsi="宋体"/>
              </w:rPr>
            </w:pPr>
          </w:p>
          <w:p>
            <w:pPr>
              <w:rPr>
                <w:rFonts w:ascii="宋体" w:hAnsi="宋体"/>
              </w:rPr>
            </w:pPr>
            <w:r>
              <w:rPr>
                <w:rFonts w:hint="eastAsia" w:ascii="宋体" w:hAnsi="宋体"/>
              </w:rPr>
              <w:t>会议服务质量</w:t>
            </w:r>
          </w:p>
        </w:tc>
        <w:tc>
          <w:tcPr>
            <w:tcW w:w="6332" w:type="dxa"/>
            <w:gridSpan w:val="4"/>
            <w:tcBorders>
              <w:top w:val="single" w:color="000000" w:sz="2" w:space="0"/>
              <w:left w:val="single" w:color="000000" w:sz="2" w:space="0"/>
              <w:bottom w:val="single" w:color="000000" w:sz="2" w:space="0"/>
            </w:tcBorders>
          </w:tcPr>
          <w:p>
            <w:pPr>
              <w:rPr>
                <w:rFonts w:ascii="宋体" w:hAnsi="宋体"/>
              </w:rPr>
            </w:pPr>
          </w:p>
          <w:p>
            <w:pPr>
              <w:rPr>
                <w:rFonts w:ascii="宋体" w:hAnsi="宋体"/>
              </w:rPr>
            </w:pPr>
            <w:r>
              <w:rPr>
                <w:rFonts w:hint="eastAsia" w:ascii="宋体" w:hAnsi="宋体"/>
              </w:rPr>
              <w:t>满意</w:t>
            </w:r>
            <w:r>
              <w:rPr>
                <w:rFonts w:hint="eastAsia" w:ascii="宋体" w:hAnsi="宋体"/>
              </w:rPr>
              <w:tab/>
            </w:r>
            <w:r>
              <w:rPr>
                <w:rFonts w:ascii="Segoe UI Symbol" w:hAnsi="Segoe UI Symbol" w:cs="Segoe UI Symbol"/>
              </w:rPr>
              <w:t>☐</w:t>
            </w:r>
            <w:r>
              <w:rPr>
                <w:rFonts w:hint="eastAsia" w:ascii="宋体" w:hAnsi="宋体" w:cs="宋体"/>
              </w:rPr>
              <w:t>较好</w:t>
            </w:r>
            <w:r>
              <w:rPr>
                <w:rFonts w:hint="eastAsia" w:ascii="宋体" w:hAnsi="宋体"/>
              </w:rPr>
              <w:tab/>
            </w:r>
            <w:r>
              <w:rPr>
                <w:rFonts w:ascii="Segoe UI Symbol" w:hAnsi="Segoe UI Symbol" w:cs="Segoe UI Symbol"/>
              </w:rPr>
              <w:t>☐</w:t>
            </w:r>
            <w:r>
              <w:rPr>
                <w:rFonts w:hint="eastAsia" w:ascii="宋体" w:hAnsi="宋体" w:cs="宋体"/>
              </w:rPr>
              <w:t>—般</w:t>
            </w:r>
            <w:r>
              <w:rPr>
                <w:rFonts w:hint="eastAsia" w:ascii="宋体" w:hAnsi="宋体"/>
              </w:rPr>
              <w:tab/>
            </w:r>
            <w:r>
              <w:rPr>
                <w:rFonts w:ascii="Segoe UI Symbol" w:hAnsi="Segoe UI Symbol" w:cs="Segoe UI Symbol"/>
              </w:rPr>
              <w:t>☐</w:t>
            </w:r>
            <w:r>
              <w:rPr>
                <w:rFonts w:hint="eastAsia" w:ascii="宋体" w:hAnsi="宋体" w:cs="宋体"/>
              </w:rPr>
              <w:t>不满意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1" w:hRule="atLeast"/>
        </w:trPr>
        <w:tc>
          <w:tcPr>
            <w:tcW w:w="1531" w:type="dxa"/>
            <w:vMerge w:val="continue"/>
            <w:tcBorders>
              <w:top w:val="nil"/>
              <w:bottom w:val="single" w:color="000000" w:sz="2" w:space="0"/>
              <w:right w:val="single" w:color="000000" w:sz="2" w:space="0"/>
            </w:tcBorders>
          </w:tcPr>
          <w:p>
            <w:pPr>
              <w:rPr>
                <w:rFonts w:ascii="宋体" w:hAnsi="宋体"/>
              </w:rPr>
            </w:pPr>
          </w:p>
        </w:tc>
        <w:tc>
          <w:tcPr>
            <w:tcW w:w="1650" w:type="dxa"/>
            <w:tcBorders>
              <w:top w:val="single" w:color="000000" w:sz="2" w:space="0"/>
              <w:left w:val="single" w:color="000000" w:sz="2" w:space="0"/>
              <w:bottom w:val="single" w:color="000000" w:sz="2" w:space="0"/>
              <w:right w:val="single" w:color="000000" w:sz="2" w:space="0"/>
            </w:tcBorders>
          </w:tcPr>
          <w:p>
            <w:pPr>
              <w:rPr>
                <w:rFonts w:ascii="宋体" w:hAnsi="宋体"/>
              </w:rPr>
            </w:pPr>
          </w:p>
          <w:p>
            <w:pPr>
              <w:rPr>
                <w:rFonts w:ascii="宋体" w:hAnsi="宋体"/>
              </w:rPr>
            </w:pPr>
            <w:r>
              <w:rPr>
                <w:rFonts w:hint="eastAsia" w:ascii="宋体" w:hAnsi="宋体"/>
              </w:rPr>
              <w:t>会场环境卫生</w:t>
            </w:r>
          </w:p>
        </w:tc>
        <w:tc>
          <w:tcPr>
            <w:tcW w:w="6332" w:type="dxa"/>
            <w:gridSpan w:val="4"/>
            <w:tcBorders>
              <w:top w:val="single" w:color="000000" w:sz="2" w:space="0"/>
              <w:left w:val="single" w:color="000000" w:sz="2" w:space="0"/>
              <w:bottom w:val="single" w:color="000000" w:sz="2" w:space="0"/>
            </w:tcBorders>
          </w:tcPr>
          <w:p>
            <w:pPr>
              <w:rPr>
                <w:rFonts w:ascii="宋体" w:hAnsi="宋体"/>
              </w:rPr>
            </w:pPr>
          </w:p>
          <w:p>
            <w:pPr>
              <w:rPr>
                <w:rFonts w:ascii="宋体" w:hAnsi="宋体"/>
              </w:rPr>
            </w:pPr>
            <w:r>
              <w:rPr>
                <w:rFonts w:hint="eastAsia" w:ascii="宋体" w:hAnsi="宋体"/>
              </w:rPr>
              <w:t>满意</w:t>
            </w:r>
            <w:r>
              <w:rPr>
                <w:rFonts w:hint="eastAsia" w:ascii="宋体" w:hAnsi="宋体"/>
              </w:rPr>
              <w:tab/>
            </w:r>
            <w:r>
              <w:rPr>
                <w:rFonts w:ascii="Segoe UI Symbol" w:hAnsi="Segoe UI Symbol" w:cs="Segoe UI Symbol"/>
              </w:rPr>
              <w:t>☐</w:t>
            </w:r>
            <w:r>
              <w:rPr>
                <w:rFonts w:hint="eastAsia" w:ascii="宋体" w:hAnsi="宋体" w:cs="宋体"/>
              </w:rPr>
              <w:t>较好</w:t>
            </w:r>
            <w:r>
              <w:rPr>
                <w:rFonts w:hint="eastAsia" w:ascii="宋体" w:hAnsi="宋体"/>
              </w:rPr>
              <w:tab/>
            </w:r>
            <w:r>
              <w:rPr>
                <w:rFonts w:ascii="Segoe UI Symbol" w:hAnsi="Segoe UI Symbol" w:cs="Segoe UI Symbol"/>
              </w:rPr>
              <w:t>☐</w:t>
            </w:r>
            <w:r>
              <w:rPr>
                <w:rFonts w:hint="eastAsia" w:ascii="宋体" w:hAnsi="宋体" w:cs="宋体"/>
              </w:rPr>
              <w:t>—般</w:t>
            </w:r>
            <w:r>
              <w:rPr>
                <w:rFonts w:hint="eastAsia" w:ascii="宋体" w:hAnsi="宋体"/>
              </w:rPr>
              <w:tab/>
            </w:r>
            <w:r>
              <w:rPr>
                <w:rFonts w:ascii="Segoe UI Symbol" w:hAnsi="Segoe UI Symbol" w:cs="Segoe UI Symbol"/>
              </w:rPr>
              <w:t>☐</w:t>
            </w:r>
            <w:r>
              <w:rPr>
                <w:rFonts w:hint="eastAsia" w:ascii="宋体" w:hAnsi="宋体" w:cs="宋体"/>
              </w:rPr>
              <w:t>不满意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2" w:hRule="atLeast"/>
        </w:trPr>
        <w:tc>
          <w:tcPr>
            <w:tcW w:w="1531" w:type="dxa"/>
            <w:vMerge w:val="continue"/>
            <w:tcBorders>
              <w:top w:val="nil"/>
              <w:bottom w:val="single" w:color="000000" w:sz="2" w:space="0"/>
              <w:right w:val="single" w:color="000000" w:sz="2" w:space="0"/>
            </w:tcBorders>
          </w:tcPr>
          <w:p>
            <w:pPr>
              <w:rPr>
                <w:rFonts w:ascii="宋体" w:hAnsi="宋体"/>
              </w:rPr>
            </w:pPr>
          </w:p>
        </w:tc>
        <w:tc>
          <w:tcPr>
            <w:tcW w:w="1650" w:type="dxa"/>
            <w:tcBorders>
              <w:top w:val="single" w:color="000000" w:sz="2" w:space="0"/>
              <w:left w:val="single" w:color="000000" w:sz="2" w:space="0"/>
              <w:bottom w:val="single" w:color="000000" w:sz="2" w:space="0"/>
              <w:right w:val="single" w:color="000000" w:sz="2" w:space="0"/>
            </w:tcBorders>
          </w:tcPr>
          <w:p>
            <w:pPr>
              <w:rPr>
                <w:rFonts w:ascii="宋体" w:hAnsi="宋体"/>
              </w:rPr>
            </w:pPr>
          </w:p>
          <w:p>
            <w:pPr>
              <w:rPr>
                <w:rFonts w:ascii="宋体" w:hAnsi="宋体"/>
              </w:rPr>
            </w:pPr>
            <w:r>
              <w:rPr>
                <w:rFonts w:hint="eastAsia" w:ascii="宋体" w:hAnsi="宋体"/>
              </w:rPr>
              <w:t>会场音响效果</w:t>
            </w:r>
          </w:p>
        </w:tc>
        <w:tc>
          <w:tcPr>
            <w:tcW w:w="6332" w:type="dxa"/>
            <w:gridSpan w:val="4"/>
            <w:tcBorders>
              <w:top w:val="single" w:color="000000" w:sz="2" w:space="0"/>
              <w:left w:val="single" w:color="000000" w:sz="2" w:space="0"/>
              <w:bottom w:val="single" w:color="000000" w:sz="2" w:space="0"/>
            </w:tcBorders>
          </w:tcPr>
          <w:p>
            <w:pPr>
              <w:rPr>
                <w:rFonts w:ascii="宋体" w:hAnsi="宋体"/>
              </w:rPr>
            </w:pPr>
          </w:p>
          <w:p>
            <w:pPr>
              <w:rPr>
                <w:rFonts w:ascii="宋体" w:hAnsi="宋体"/>
              </w:rPr>
            </w:pPr>
            <w:r>
              <w:rPr>
                <w:rFonts w:hint="eastAsia" w:ascii="宋体" w:hAnsi="宋体"/>
              </w:rPr>
              <w:t>满意</w:t>
            </w:r>
            <w:r>
              <w:rPr>
                <w:rFonts w:hint="eastAsia" w:ascii="宋体" w:hAnsi="宋体"/>
              </w:rPr>
              <w:tab/>
            </w:r>
            <w:r>
              <w:rPr>
                <w:rFonts w:ascii="Segoe UI Symbol" w:hAnsi="Segoe UI Symbol" w:cs="Segoe UI Symbol"/>
              </w:rPr>
              <w:t>☐</w:t>
            </w:r>
            <w:r>
              <w:rPr>
                <w:rFonts w:hint="eastAsia" w:ascii="宋体" w:hAnsi="宋体" w:cs="宋体"/>
              </w:rPr>
              <w:t>较好</w:t>
            </w:r>
            <w:r>
              <w:rPr>
                <w:rFonts w:hint="eastAsia" w:ascii="宋体" w:hAnsi="宋体"/>
              </w:rPr>
              <w:tab/>
            </w:r>
            <w:r>
              <w:rPr>
                <w:rFonts w:ascii="Segoe UI Symbol" w:hAnsi="Segoe UI Symbol" w:cs="Segoe UI Symbol"/>
              </w:rPr>
              <w:t>☐</w:t>
            </w:r>
            <w:r>
              <w:rPr>
                <w:rFonts w:hint="eastAsia" w:ascii="宋体" w:hAnsi="宋体" w:cs="宋体"/>
              </w:rPr>
              <w:t>—般</w:t>
            </w:r>
            <w:r>
              <w:rPr>
                <w:rFonts w:hint="eastAsia" w:ascii="宋体" w:hAnsi="宋体"/>
              </w:rPr>
              <w:tab/>
            </w:r>
            <w:r>
              <w:rPr>
                <w:rFonts w:ascii="Segoe UI Symbol" w:hAnsi="Segoe UI Symbol" w:cs="Segoe UI Symbol"/>
              </w:rPr>
              <w:t>☐</w:t>
            </w:r>
            <w:r>
              <w:rPr>
                <w:rFonts w:hint="eastAsia" w:ascii="宋体" w:hAnsi="宋体" w:cs="宋体"/>
              </w:rPr>
              <w:t>不满意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1" w:hRule="atLeast"/>
        </w:trPr>
        <w:tc>
          <w:tcPr>
            <w:tcW w:w="1531" w:type="dxa"/>
            <w:vMerge w:val="continue"/>
            <w:tcBorders>
              <w:top w:val="nil"/>
              <w:bottom w:val="single" w:color="000000" w:sz="2" w:space="0"/>
              <w:right w:val="single" w:color="000000" w:sz="2" w:space="0"/>
            </w:tcBorders>
          </w:tcPr>
          <w:p>
            <w:pPr>
              <w:rPr>
                <w:rFonts w:ascii="宋体" w:hAnsi="宋体"/>
              </w:rPr>
            </w:pPr>
          </w:p>
        </w:tc>
        <w:tc>
          <w:tcPr>
            <w:tcW w:w="1650" w:type="dxa"/>
            <w:tcBorders>
              <w:top w:val="single" w:color="000000" w:sz="2" w:space="0"/>
              <w:left w:val="single" w:color="000000" w:sz="2" w:space="0"/>
              <w:bottom w:val="single" w:color="000000" w:sz="2" w:space="0"/>
              <w:right w:val="single" w:color="000000" w:sz="2" w:space="0"/>
            </w:tcBorders>
          </w:tcPr>
          <w:p>
            <w:pPr>
              <w:rPr>
                <w:rFonts w:ascii="宋体" w:hAnsi="宋体"/>
              </w:rPr>
            </w:pPr>
          </w:p>
          <w:p>
            <w:pPr>
              <w:rPr>
                <w:rFonts w:ascii="宋体" w:hAnsi="宋体"/>
              </w:rPr>
            </w:pPr>
            <w:r>
              <w:rPr>
                <w:rFonts w:hint="eastAsia" w:ascii="宋体" w:hAnsi="宋体"/>
              </w:rPr>
              <w:t>会场灯光效果</w:t>
            </w:r>
          </w:p>
        </w:tc>
        <w:tc>
          <w:tcPr>
            <w:tcW w:w="6332" w:type="dxa"/>
            <w:gridSpan w:val="4"/>
            <w:tcBorders>
              <w:top w:val="single" w:color="000000" w:sz="2" w:space="0"/>
              <w:left w:val="single" w:color="000000" w:sz="2" w:space="0"/>
              <w:bottom w:val="single" w:color="000000" w:sz="2" w:space="0"/>
            </w:tcBorders>
          </w:tcPr>
          <w:p>
            <w:pPr>
              <w:rPr>
                <w:rFonts w:ascii="宋体" w:hAnsi="宋体"/>
              </w:rPr>
            </w:pPr>
          </w:p>
          <w:p>
            <w:pPr>
              <w:rPr>
                <w:rFonts w:ascii="宋体" w:hAnsi="宋体"/>
              </w:rPr>
            </w:pPr>
            <w:r>
              <w:rPr>
                <w:rFonts w:hint="eastAsia" w:ascii="宋体" w:hAnsi="宋体"/>
              </w:rPr>
              <w:t>满意</w:t>
            </w:r>
            <w:r>
              <w:rPr>
                <w:rFonts w:hint="eastAsia" w:ascii="宋体" w:hAnsi="宋体"/>
              </w:rPr>
              <w:tab/>
            </w:r>
            <w:r>
              <w:rPr>
                <w:rFonts w:ascii="Segoe UI Symbol" w:hAnsi="Segoe UI Symbol" w:cs="Segoe UI Symbol"/>
              </w:rPr>
              <w:t>☐</w:t>
            </w:r>
            <w:r>
              <w:rPr>
                <w:rFonts w:hint="eastAsia" w:ascii="宋体" w:hAnsi="宋体" w:cs="宋体"/>
              </w:rPr>
              <w:t>较好</w:t>
            </w:r>
            <w:r>
              <w:rPr>
                <w:rFonts w:hint="eastAsia" w:ascii="宋体" w:hAnsi="宋体"/>
              </w:rPr>
              <w:tab/>
            </w:r>
            <w:r>
              <w:rPr>
                <w:rFonts w:ascii="Segoe UI Symbol" w:hAnsi="Segoe UI Symbol" w:cs="Segoe UI Symbol"/>
              </w:rPr>
              <w:t>☐</w:t>
            </w:r>
            <w:r>
              <w:rPr>
                <w:rFonts w:hint="eastAsia" w:ascii="宋体" w:hAnsi="宋体" w:cs="宋体"/>
              </w:rPr>
              <w:t>—般</w:t>
            </w:r>
            <w:r>
              <w:rPr>
                <w:rFonts w:hint="eastAsia" w:ascii="宋体" w:hAnsi="宋体"/>
              </w:rPr>
              <w:tab/>
            </w:r>
            <w:r>
              <w:rPr>
                <w:rFonts w:ascii="Segoe UI Symbol" w:hAnsi="Segoe UI Symbol" w:cs="Segoe UI Symbol"/>
              </w:rPr>
              <w:t>☐</w:t>
            </w:r>
            <w:r>
              <w:rPr>
                <w:rFonts w:hint="eastAsia" w:ascii="宋体" w:hAnsi="宋体" w:cs="宋体"/>
              </w:rPr>
              <w:t>不满意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2" w:hRule="atLeast"/>
        </w:trPr>
        <w:tc>
          <w:tcPr>
            <w:tcW w:w="1531" w:type="dxa"/>
            <w:vMerge w:val="continue"/>
            <w:tcBorders>
              <w:top w:val="nil"/>
              <w:bottom w:val="single" w:color="000000" w:sz="2" w:space="0"/>
              <w:right w:val="single" w:color="000000" w:sz="2" w:space="0"/>
            </w:tcBorders>
          </w:tcPr>
          <w:p>
            <w:pPr>
              <w:rPr>
                <w:rFonts w:ascii="宋体" w:hAnsi="宋体"/>
              </w:rPr>
            </w:pPr>
          </w:p>
        </w:tc>
        <w:tc>
          <w:tcPr>
            <w:tcW w:w="1650" w:type="dxa"/>
            <w:tcBorders>
              <w:top w:val="single" w:color="000000" w:sz="2" w:space="0"/>
              <w:left w:val="single" w:color="000000" w:sz="2" w:space="0"/>
              <w:bottom w:val="single" w:color="000000" w:sz="2" w:space="0"/>
              <w:right w:val="single" w:color="000000" w:sz="2" w:space="0"/>
            </w:tcBorders>
          </w:tcPr>
          <w:p>
            <w:pPr>
              <w:rPr>
                <w:rFonts w:ascii="宋体" w:hAnsi="宋体"/>
              </w:rPr>
            </w:pPr>
          </w:p>
          <w:p>
            <w:pPr>
              <w:rPr>
                <w:rFonts w:ascii="宋体" w:hAnsi="宋体"/>
              </w:rPr>
            </w:pPr>
            <w:r>
              <w:rPr>
                <w:rFonts w:hint="eastAsia" w:ascii="宋体" w:hAnsi="宋体"/>
              </w:rPr>
              <w:t>会场空调效果</w:t>
            </w:r>
          </w:p>
        </w:tc>
        <w:tc>
          <w:tcPr>
            <w:tcW w:w="6332" w:type="dxa"/>
            <w:gridSpan w:val="4"/>
            <w:tcBorders>
              <w:top w:val="single" w:color="000000" w:sz="2" w:space="0"/>
              <w:left w:val="single" w:color="000000" w:sz="2" w:space="0"/>
              <w:bottom w:val="single" w:color="000000" w:sz="2" w:space="0"/>
            </w:tcBorders>
          </w:tcPr>
          <w:p>
            <w:pPr>
              <w:rPr>
                <w:rFonts w:ascii="宋体" w:hAnsi="宋体"/>
              </w:rPr>
            </w:pPr>
          </w:p>
          <w:p>
            <w:pPr>
              <w:rPr>
                <w:rFonts w:ascii="宋体" w:hAnsi="宋体"/>
              </w:rPr>
            </w:pPr>
            <w:r>
              <w:rPr>
                <w:rFonts w:hint="eastAsia" w:ascii="宋体" w:hAnsi="宋体"/>
              </w:rPr>
              <w:t>满意</w:t>
            </w:r>
            <w:r>
              <w:rPr>
                <w:rFonts w:hint="eastAsia" w:ascii="宋体" w:hAnsi="宋体"/>
              </w:rPr>
              <w:tab/>
            </w:r>
            <w:r>
              <w:rPr>
                <w:rFonts w:ascii="Segoe UI Symbol" w:hAnsi="Segoe UI Symbol" w:cs="Segoe UI Symbol"/>
              </w:rPr>
              <w:t>☐</w:t>
            </w:r>
            <w:r>
              <w:rPr>
                <w:rFonts w:hint="eastAsia" w:ascii="宋体" w:hAnsi="宋体" w:cs="宋体"/>
              </w:rPr>
              <w:t>较好</w:t>
            </w:r>
            <w:r>
              <w:rPr>
                <w:rFonts w:hint="eastAsia" w:ascii="宋体" w:hAnsi="宋体"/>
              </w:rPr>
              <w:tab/>
            </w:r>
            <w:r>
              <w:rPr>
                <w:rFonts w:ascii="Segoe UI Symbol" w:hAnsi="Segoe UI Symbol" w:cs="Segoe UI Symbol"/>
              </w:rPr>
              <w:t>☐</w:t>
            </w:r>
            <w:r>
              <w:rPr>
                <w:rFonts w:hint="eastAsia" w:ascii="宋体" w:hAnsi="宋体" w:cs="宋体"/>
              </w:rPr>
              <w:t>—般</w:t>
            </w:r>
            <w:r>
              <w:rPr>
                <w:rFonts w:hint="eastAsia" w:ascii="宋体" w:hAnsi="宋体"/>
              </w:rPr>
              <w:tab/>
            </w:r>
            <w:r>
              <w:rPr>
                <w:rFonts w:ascii="Segoe UI Symbol" w:hAnsi="Segoe UI Symbol" w:cs="Segoe UI Symbol"/>
              </w:rPr>
              <w:t>☐</w:t>
            </w:r>
            <w:r>
              <w:rPr>
                <w:rFonts w:hint="eastAsia" w:ascii="宋体" w:hAnsi="宋体" w:cs="宋体"/>
              </w:rPr>
              <w:t>不满意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95" w:hRule="atLeast"/>
        </w:trPr>
        <w:tc>
          <w:tcPr>
            <w:tcW w:w="9513" w:type="dxa"/>
            <w:gridSpan w:val="6"/>
            <w:tcBorders>
              <w:top w:val="single" w:color="000000" w:sz="2" w:space="0"/>
            </w:tcBorders>
          </w:tcPr>
          <w:p>
            <w:pPr>
              <w:rPr>
                <w:rFonts w:ascii="宋体" w:hAnsi="宋体"/>
              </w:rPr>
            </w:pPr>
            <w:r>
              <w:rPr>
                <w:rFonts w:hint="eastAsia" w:ascii="宋体" w:hAnsi="宋体"/>
              </w:rPr>
              <w:t xml:space="preserve">  您对本次会议服务有何建议和意见:</w:t>
            </w:r>
          </w:p>
        </w:tc>
      </w:tr>
    </w:tbl>
    <w:p>
      <w:pPr>
        <w:pStyle w:val="76"/>
        <w:numPr>
          <w:ilvl w:val="0"/>
          <w:numId w:val="0"/>
        </w:numPr>
        <w:spacing w:after="156"/>
        <w:jc w:val="both"/>
        <w:rPr>
          <w:rFonts w:ascii="宋体" w:hAnsi="宋体" w:eastAsia="宋体"/>
          <w:szCs w:val="21"/>
        </w:rPr>
      </w:pPr>
    </w:p>
    <w:p>
      <w:pPr>
        <w:pStyle w:val="56"/>
        <w:ind w:firstLine="420"/>
      </w:pPr>
    </w:p>
    <w:bookmarkEnd w:id="125"/>
    <w:p>
      <w:pPr>
        <w:pStyle w:val="56"/>
        <w:ind w:firstLine="0" w:firstLineChars="0"/>
        <w:jc w:val="center"/>
      </w:pPr>
      <w:bookmarkStart w:id="258"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58"/>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lang w:val="en-US"/>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284"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forms" w:enforcement="1" w:cryptProviderType="rsaAES" w:cryptAlgorithmClass="hash" w:cryptAlgorithmType="typeAny" w:cryptAlgorithmSid="14" w:cryptSpinCount="100000" w:hash="hheAqAxQd+mwLMiE5Yz9ZsazuhKa2phFvpjb42Xt4164LBzOBGDKKZRb2yxiZhXIInc/TJGer40FgE1vd6UUXw==" w:salt="eoRuJ2EgAGYuFEHRooH++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NmVjZjM2MDJmMTFjNzI5YTU2Yzk1MGFmYmY5MzYifQ=="/>
  </w:docVars>
  <w:rsids>
    <w:rsidRoot w:val="00410D66"/>
    <w:rsid w:val="0000040A"/>
    <w:rsid w:val="00000A94"/>
    <w:rsid w:val="00001972"/>
    <w:rsid w:val="00001D9A"/>
    <w:rsid w:val="00001E84"/>
    <w:rsid w:val="00007B3A"/>
    <w:rsid w:val="000107E0"/>
    <w:rsid w:val="00011FDE"/>
    <w:rsid w:val="00012493"/>
    <w:rsid w:val="00012FFD"/>
    <w:rsid w:val="00013E93"/>
    <w:rsid w:val="00014162"/>
    <w:rsid w:val="00014340"/>
    <w:rsid w:val="00016551"/>
    <w:rsid w:val="00016A9C"/>
    <w:rsid w:val="00021CA9"/>
    <w:rsid w:val="00022184"/>
    <w:rsid w:val="00022762"/>
    <w:rsid w:val="000238E0"/>
    <w:rsid w:val="000249DB"/>
    <w:rsid w:val="0002595E"/>
    <w:rsid w:val="000274A1"/>
    <w:rsid w:val="00027CD5"/>
    <w:rsid w:val="000303C3"/>
    <w:rsid w:val="00031803"/>
    <w:rsid w:val="000331D3"/>
    <w:rsid w:val="000346A5"/>
    <w:rsid w:val="000359C3"/>
    <w:rsid w:val="00035A31"/>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6363"/>
    <w:rsid w:val="00077B64"/>
    <w:rsid w:val="00080A1C"/>
    <w:rsid w:val="000820D5"/>
    <w:rsid w:val="00082317"/>
    <w:rsid w:val="00083D2C"/>
    <w:rsid w:val="00086AA1"/>
    <w:rsid w:val="00087A77"/>
    <w:rsid w:val="00090CA6"/>
    <w:rsid w:val="0009276D"/>
    <w:rsid w:val="00092B8A"/>
    <w:rsid w:val="00092FB0"/>
    <w:rsid w:val="000934C5"/>
    <w:rsid w:val="00093CD7"/>
    <w:rsid w:val="00093D25"/>
    <w:rsid w:val="00093DAB"/>
    <w:rsid w:val="00094D73"/>
    <w:rsid w:val="00096D63"/>
    <w:rsid w:val="000A0B60"/>
    <w:rsid w:val="000A0EB8"/>
    <w:rsid w:val="000A19FC"/>
    <w:rsid w:val="000A296B"/>
    <w:rsid w:val="000A6E3F"/>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0561"/>
    <w:rsid w:val="000E4C9E"/>
    <w:rsid w:val="000E6FD7"/>
    <w:rsid w:val="000F06E1"/>
    <w:rsid w:val="000F0E3C"/>
    <w:rsid w:val="000F19D5"/>
    <w:rsid w:val="000F4AEA"/>
    <w:rsid w:val="000F633F"/>
    <w:rsid w:val="000F67E9"/>
    <w:rsid w:val="001027D0"/>
    <w:rsid w:val="00104926"/>
    <w:rsid w:val="00113B1E"/>
    <w:rsid w:val="0011711C"/>
    <w:rsid w:val="0012059C"/>
    <w:rsid w:val="00122A6E"/>
    <w:rsid w:val="00124E4F"/>
    <w:rsid w:val="0012600C"/>
    <w:rsid w:val="001260B7"/>
    <w:rsid w:val="001265CB"/>
    <w:rsid w:val="001321C6"/>
    <w:rsid w:val="001325C4"/>
    <w:rsid w:val="00133010"/>
    <w:rsid w:val="001338EE"/>
    <w:rsid w:val="00133AAE"/>
    <w:rsid w:val="00135096"/>
    <w:rsid w:val="00135323"/>
    <w:rsid w:val="001356C4"/>
    <w:rsid w:val="00137F1B"/>
    <w:rsid w:val="00140419"/>
    <w:rsid w:val="00141114"/>
    <w:rsid w:val="00142969"/>
    <w:rsid w:val="001446C2"/>
    <w:rsid w:val="001457E7"/>
    <w:rsid w:val="00145D9D"/>
    <w:rsid w:val="00146388"/>
    <w:rsid w:val="001529E5"/>
    <w:rsid w:val="00153C7E"/>
    <w:rsid w:val="00153DFE"/>
    <w:rsid w:val="00154592"/>
    <w:rsid w:val="00156B25"/>
    <w:rsid w:val="00156E1A"/>
    <w:rsid w:val="00157894"/>
    <w:rsid w:val="00157B55"/>
    <w:rsid w:val="00162290"/>
    <w:rsid w:val="001642FA"/>
    <w:rsid w:val="001649EB"/>
    <w:rsid w:val="00164BAF"/>
    <w:rsid w:val="00164FA8"/>
    <w:rsid w:val="00165065"/>
    <w:rsid w:val="00165434"/>
    <w:rsid w:val="0016580B"/>
    <w:rsid w:val="00165F49"/>
    <w:rsid w:val="00166B88"/>
    <w:rsid w:val="0016770A"/>
    <w:rsid w:val="00170804"/>
    <w:rsid w:val="001708E9"/>
    <w:rsid w:val="0017340B"/>
    <w:rsid w:val="00173709"/>
    <w:rsid w:val="00173FB1"/>
    <w:rsid w:val="00176DFD"/>
    <w:rsid w:val="001852C9"/>
    <w:rsid w:val="00190087"/>
    <w:rsid w:val="001913C4"/>
    <w:rsid w:val="0019348F"/>
    <w:rsid w:val="00193A07"/>
    <w:rsid w:val="00193E65"/>
    <w:rsid w:val="00194C95"/>
    <w:rsid w:val="00195C34"/>
    <w:rsid w:val="00196EF5"/>
    <w:rsid w:val="001A0BD5"/>
    <w:rsid w:val="001A1A53"/>
    <w:rsid w:val="001A234A"/>
    <w:rsid w:val="001A4CF3"/>
    <w:rsid w:val="001B06E8"/>
    <w:rsid w:val="001B71D0"/>
    <w:rsid w:val="001B71EE"/>
    <w:rsid w:val="001C04A8"/>
    <w:rsid w:val="001C0BA7"/>
    <w:rsid w:val="001C2C03"/>
    <w:rsid w:val="001C42F7"/>
    <w:rsid w:val="001C49E5"/>
    <w:rsid w:val="001C680C"/>
    <w:rsid w:val="001C7FEA"/>
    <w:rsid w:val="001D041A"/>
    <w:rsid w:val="001D0499"/>
    <w:rsid w:val="001D0BBE"/>
    <w:rsid w:val="001D0ED4"/>
    <w:rsid w:val="001D212F"/>
    <w:rsid w:val="001D29D7"/>
    <w:rsid w:val="001D2DE7"/>
    <w:rsid w:val="001D411C"/>
    <w:rsid w:val="001D50EA"/>
    <w:rsid w:val="001D7AFD"/>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4D06"/>
    <w:rsid w:val="0020527B"/>
    <w:rsid w:val="00205F2C"/>
    <w:rsid w:val="00210B15"/>
    <w:rsid w:val="00210E73"/>
    <w:rsid w:val="002142EA"/>
    <w:rsid w:val="00220471"/>
    <w:rsid w:val="002204BB"/>
    <w:rsid w:val="00221B79"/>
    <w:rsid w:val="00221C6B"/>
    <w:rsid w:val="002253A1"/>
    <w:rsid w:val="00225CF8"/>
    <w:rsid w:val="00227118"/>
    <w:rsid w:val="0022794E"/>
    <w:rsid w:val="0023018E"/>
    <w:rsid w:val="00230BDE"/>
    <w:rsid w:val="00233D64"/>
    <w:rsid w:val="0023482A"/>
    <w:rsid w:val="002359CB"/>
    <w:rsid w:val="00235AED"/>
    <w:rsid w:val="00236AC2"/>
    <w:rsid w:val="0023756C"/>
    <w:rsid w:val="00243540"/>
    <w:rsid w:val="00243F57"/>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776"/>
    <w:rsid w:val="00267B02"/>
    <w:rsid w:val="00267EF4"/>
    <w:rsid w:val="00270CB8"/>
    <w:rsid w:val="00272B08"/>
    <w:rsid w:val="002771AC"/>
    <w:rsid w:val="00281BB8"/>
    <w:rsid w:val="00281E9E"/>
    <w:rsid w:val="00282405"/>
    <w:rsid w:val="00283BBA"/>
    <w:rsid w:val="002849A0"/>
    <w:rsid w:val="00285170"/>
    <w:rsid w:val="00285361"/>
    <w:rsid w:val="00292266"/>
    <w:rsid w:val="00292D60"/>
    <w:rsid w:val="00293B30"/>
    <w:rsid w:val="00294479"/>
    <w:rsid w:val="00294D34"/>
    <w:rsid w:val="00294E3B"/>
    <w:rsid w:val="00296193"/>
    <w:rsid w:val="00296C66"/>
    <w:rsid w:val="00296EBE"/>
    <w:rsid w:val="002974E3"/>
    <w:rsid w:val="002A084B"/>
    <w:rsid w:val="002A1260"/>
    <w:rsid w:val="002A1589"/>
    <w:rsid w:val="002A1608"/>
    <w:rsid w:val="002A25DC"/>
    <w:rsid w:val="002A376B"/>
    <w:rsid w:val="002A3AAB"/>
    <w:rsid w:val="002A4CEA"/>
    <w:rsid w:val="002A5977"/>
    <w:rsid w:val="002A5A13"/>
    <w:rsid w:val="002A757F"/>
    <w:rsid w:val="002A7F44"/>
    <w:rsid w:val="002B05EA"/>
    <w:rsid w:val="002B0C40"/>
    <w:rsid w:val="002B1966"/>
    <w:rsid w:val="002B4508"/>
    <w:rsid w:val="002B5779"/>
    <w:rsid w:val="002B7332"/>
    <w:rsid w:val="002B7DBF"/>
    <w:rsid w:val="002B7F51"/>
    <w:rsid w:val="002C09E7"/>
    <w:rsid w:val="002C1E06"/>
    <w:rsid w:val="002C1E1C"/>
    <w:rsid w:val="002C23C6"/>
    <w:rsid w:val="002C3341"/>
    <w:rsid w:val="002C3F07"/>
    <w:rsid w:val="002C5278"/>
    <w:rsid w:val="002C7EBB"/>
    <w:rsid w:val="002D06C1"/>
    <w:rsid w:val="002D42B5"/>
    <w:rsid w:val="002D4F1A"/>
    <w:rsid w:val="002D51F1"/>
    <w:rsid w:val="002D6023"/>
    <w:rsid w:val="002D6EC6"/>
    <w:rsid w:val="002D74AD"/>
    <w:rsid w:val="002D79AC"/>
    <w:rsid w:val="002E039D"/>
    <w:rsid w:val="002E262D"/>
    <w:rsid w:val="002E4D5A"/>
    <w:rsid w:val="002E6326"/>
    <w:rsid w:val="002E79D0"/>
    <w:rsid w:val="002F058E"/>
    <w:rsid w:val="002F0993"/>
    <w:rsid w:val="002F30E0"/>
    <w:rsid w:val="002F35E4"/>
    <w:rsid w:val="002F3730"/>
    <w:rsid w:val="002F38E1"/>
    <w:rsid w:val="002F7535"/>
    <w:rsid w:val="002F7AF6"/>
    <w:rsid w:val="00300E63"/>
    <w:rsid w:val="00302F5F"/>
    <w:rsid w:val="0030441D"/>
    <w:rsid w:val="00306063"/>
    <w:rsid w:val="003110CC"/>
    <w:rsid w:val="00313B85"/>
    <w:rsid w:val="00317988"/>
    <w:rsid w:val="00321A94"/>
    <w:rsid w:val="003221B4"/>
    <w:rsid w:val="0032258D"/>
    <w:rsid w:val="00322E62"/>
    <w:rsid w:val="00324D13"/>
    <w:rsid w:val="00324D2A"/>
    <w:rsid w:val="00324EDD"/>
    <w:rsid w:val="00331019"/>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218A"/>
    <w:rsid w:val="003725EF"/>
    <w:rsid w:val="00375309"/>
    <w:rsid w:val="003755B7"/>
    <w:rsid w:val="00376713"/>
    <w:rsid w:val="003769EF"/>
    <w:rsid w:val="00376C62"/>
    <w:rsid w:val="00380432"/>
    <w:rsid w:val="00381815"/>
    <w:rsid w:val="003819AF"/>
    <w:rsid w:val="003820E9"/>
    <w:rsid w:val="00382350"/>
    <w:rsid w:val="00382DE7"/>
    <w:rsid w:val="00384FFC"/>
    <w:rsid w:val="00385941"/>
    <w:rsid w:val="003872FC"/>
    <w:rsid w:val="00387ADC"/>
    <w:rsid w:val="00390020"/>
    <w:rsid w:val="003903D6"/>
    <w:rsid w:val="00390EE6"/>
    <w:rsid w:val="0039118F"/>
    <w:rsid w:val="0039191D"/>
    <w:rsid w:val="00392AD7"/>
    <w:rsid w:val="003938D9"/>
    <w:rsid w:val="00394376"/>
    <w:rsid w:val="003943FF"/>
    <w:rsid w:val="00395700"/>
    <w:rsid w:val="003974EB"/>
    <w:rsid w:val="00397CC5"/>
    <w:rsid w:val="003A1582"/>
    <w:rsid w:val="003A4077"/>
    <w:rsid w:val="003A420C"/>
    <w:rsid w:val="003B09AD"/>
    <w:rsid w:val="003B1F18"/>
    <w:rsid w:val="003B5BF0"/>
    <w:rsid w:val="003B60BF"/>
    <w:rsid w:val="003B6BE3"/>
    <w:rsid w:val="003C010C"/>
    <w:rsid w:val="003C0A6C"/>
    <w:rsid w:val="003C14F8"/>
    <w:rsid w:val="003C5A43"/>
    <w:rsid w:val="003C600F"/>
    <w:rsid w:val="003D0519"/>
    <w:rsid w:val="003D0FF6"/>
    <w:rsid w:val="003D262C"/>
    <w:rsid w:val="003D6D61"/>
    <w:rsid w:val="003D79C6"/>
    <w:rsid w:val="003E091D"/>
    <w:rsid w:val="003E0C2E"/>
    <w:rsid w:val="003E1C53"/>
    <w:rsid w:val="003E1EDD"/>
    <w:rsid w:val="003E2A69"/>
    <w:rsid w:val="003E2D49"/>
    <w:rsid w:val="003E2FD4"/>
    <w:rsid w:val="003E49F6"/>
    <w:rsid w:val="003E660F"/>
    <w:rsid w:val="003F0841"/>
    <w:rsid w:val="003F1118"/>
    <w:rsid w:val="003F23D3"/>
    <w:rsid w:val="003F3F08"/>
    <w:rsid w:val="003F49F1"/>
    <w:rsid w:val="003F6272"/>
    <w:rsid w:val="00400E72"/>
    <w:rsid w:val="00401400"/>
    <w:rsid w:val="00404869"/>
    <w:rsid w:val="00405884"/>
    <w:rsid w:val="00407D39"/>
    <w:rsid w:val="00410D66"/>
    <w:rsid w:val="00413F3C"/>
    <w:rsid w:val="0041477A"/>
    <w:rsid w:val="00415377"/>
    <w:rsid w:val="004167A3"/>
    <w:rsid w:val="00432DAA"/>
    <w:rsid w:val="00434305"/>
    <w:rsid w:val="00435DF7"/>
    <w:rsid w:val="00437EE0"/>
    <w:rsid w:val="0044083F"/>
    <w:rsid w:val="00441AE7"/>
    <w:rsid w:val="00442503"/>
    <w:rsid w:val="00445574"/>
    <w:rsid w:val="004467FB"/>
    <w:rsid w:val="00452D6B"/>
    <w:rsid w:val="00454484"/>
    <w:rsid w:val="0045517B"/>
    <w:rsid w:val="00463B77"/>
    <w:rsid w:val="00463C7B"/>
    <w:rsid w:val="004644A6"/>
    <w:rsid w:val="004659BD"/>
    <w:rsid w:val="004660F6"/>
    <w:rsid w:val="00470775"/>
    <w:rsid w:val="004746B1"/>
    <w:rsid w:val="0047583F"/>
    <w:rsid w:val="00475DE8"/>
    <w:rsid w:val="00480241"/>
    <w:rsid w:val="00481C44"/>
    <w:rsid w:val="00484936"/>
    <w:rsid w:val="00485C89"/>
    <w:rsid w:val="00486BE3"/>
    <w:rsid w:val="00490379"/>
    <w:rsid w:val="004905E4"/>
    <w:rsid w:val="00490A89"/>
    <w:rsid w:val="00490AB4"/>
    <w:rsid w:val="00492F02"/>
    <w:rsid w:val="004939AE"/>
    <w:rsid w:val="004A12DF"/>
    <w:rsid w:val="004A17E6"/>
    <w:rsid w:val="004A1BA8"/>
    <w:rsid w:val="004A2379"/>
    <w:rsid w:val="004A4B57"/>
    <w:rsid w:val="004A63FA"/>
    <w:rsid w:val="004B0272"/>
    <w:rsid w:val="004B2701"/>
    <w:rsid w:val="004B2E1B"/>
    <w:rsid w:val="004B3AA8"/>
    <w:rsid w:val="004B3E93"/>
    <w:rsid w:val="004C1882"/>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00D"/>
    <w:rsid w:val="004E2B06"/>
    <w:rsid w:val="004E30C5"/>
    <w:rsid w:val="004E4AA5"/>
    <w:rsid w:val="004E4AEE"/>
    <w:rsid w:val="004E59E3"/>
    <w:rsid w:val="004E67C0"/>
    <w:rsid w:val="004F391A"/>
    <w:rsid w:val="004F3AB2"/>
    <w:rsid w:val="004F3CFB"/>
    <w:rsid w:val="004F6456"/>
    <w:rsid w:val="004F696E"/>
    <w:rsid w:val="004F6C71"/>
    <w:rsid w:val="00501139"/>
    <w:rsid w:val="00502D52"/>
    <w:rsid w:val="0050363E"/>
    <w:rsid w:val="005039BC"/>
    <w:rsid w:val="005043BB"/>
    <w:rsid w:val="005044D0"/>
    <w:rsid w:val="00504A3D"/>
    <w:rsid w:val="00505767"/>
    <w:rsid w:val="005073F0"/>
    <w:rsid w:val="00510A7B"/>
    <w:rsid w:val="005117F1"/>
    <w:rsid w:val="00512F6E"/>
    <w:rsid w:val="00513038"/>
    <w:rsid w:val="00514174"/>
    <w:rsid w:val="00516088"/>
    <w:rsid w:val="00516B0B"/>
    <w:rsid w:val="005208DD"/>
    <w:rsid w:val="005220EC"/>
    <w:rsid w:val="00523F95"/>
    <w:rsid w:val="00524D65"/>
    <w:rsid w:val="00525B16"/>
    <w:rsid w:val="00533D04"/>
    <w:rsid w:val="00534804"/>
    <w:rsid w:val="00534BDF"/>
    <w:rsid w:val="005354EA"/>
    <w:rsid w:val="0053585F"/>
    <w:rsid w:val="00535EC4"/>
    <w:rsid w:val="00535ED9"/>
    <w:rsid w:val="0053692B"/>
    <w:rsid w:val="00541853"/>
    <w:rsid w:val="005437E6"/>
    <w:rsid w:val="00543BDA"/>
    <w:rsid w:val="005441CC"/>
    <w:rsid w:val="00544745"/>
    <w:rsid w:val="00547508"/>
    <w:rsid w:val="005479DA"/>
    <w:rsid w:val="00547BCC"/>
    <w:rsid w:val="0055013B"/>
    <w:rsid w:val="00551F6F"/>
    <w:rsid w:val="00555044"/>
    <w:rsid w:val="00560CDD"/>
    <w:rsid w:val="00561475"/>
    <w:rsid w:val="00562A57"/>
    <w:rsid w:val="0056487B"/>
    <w:rsid w:val="00564FB9"/>
    <w:rsid w:val="00573D9E"/>
    <w:rsid w:val="005801E3"/>
    <w:rsid w:val="00581802"/>
    <w:rsid w:val="005836A8"/>
    <w:rsid w:val="0058409C"/>
    <w:rsid w:val="00584262"/>
    <w:rsid w:val="005865E6"/>
    <w:rsid w:val="00586630"/>
    <w:rsid w:val="00586750"/>
    <w:rsid w:val="00587ADD"/>
    <w:rsid w:val="00591E27"/>
    <w:rsid w:val="00596160"/>
    <w:rsid w:val="0059622A"/>
    <w:rsid w:val="005966E2"/>
    <w:rsid w:val="00597007"/>
    <w:rsid w:val="005A0966"/>
    <w:rsid w:val="005A11B7"/>
    <w:rsid w:val="005A17D3"/>
    <w:rsid w:val="005A260B"/>
    <w:rsid w:val="005A4A1B"/>
    <w:rsid w:val="005A6B52"/>
    <w:rsid w:val="005A7830"/>
    <w:rsid w:val="005A7FCE"/>
    <w:rsid w:val="005B0F3F"/>
    <w:rsid w:val="005B4903"/>
    <w:rsid w:val="005B51CE"/>
    <w:rsid w:val="005B5885"/>
    <w:rsid w:val="005B5CD7"/>
    <w:rsid w:val="005B6CF6"/>
    <w:rsid w:val="005B7422"/>
    <w:rsid w:val="005B7D7B"/>
    <w:rsid w:val="005C29B8"/>
    <w:rsid w:val="005C5F21"/>
    <w:rsid w:val="005C7156"/>
    <w:rsid w:val="005D0690"/>
    <w:rsid w:val="005D0C75"/>
    <w:rsid w:val="005D2A10"/>
    <w:rsid w:val="005D2E66"/>
    <w:rsid w:val="005D4171"/>
    <w:rsid w:val="005D6A95"/>
    <w:rsid w:val="005D6B2C"/>
    <w:rsid w:val="005D6D9C"/>
    <w:rsid w:val="005E2335"/>
    <w:rsid w:val="005E34CA"/>
    <w:rsid w:val="005E3C18"/>
    <w:rsid w:val="005E6812"/>
    <w:rsid w:val="005E7881"/>
    <w:rsid w:val="005E78E0"/>
    <w:rsid w:val="005F0D9C"/>
    <w:rsid w:val="005F284E"/>
    <w:rsid w:val="005F3B40"/>
    <w:rsid w:val="005F4712"/>
    <w:rsid w:val="006015CE"/>
    <w:rsid w:val="00603108"/>
    <w:rsid w:val="00604784"/>
    <w:rsid w:val="00604C76"/>
    <w:rsid w:val="00604D38"/>
    <w:rsid w:val="00605A42"/>
    <w:rsid w:val="00606419"/>
    <w:rsid w:val="00607D29"/>
    <w:rsid w:val="00612952"/>
    <w:rsid w:val="00612BCC"/>
    <w:rsid w:val="00614225"/>
    <w:rsid w:val="00614CC1"/>
    <w:rsid w:val="00615A9D"/>
    <w:rsid w:val="00617387"/>
    <w:rsid w:val="006205D6"/>
    <w:rsid w:val="00622A07"/>
    <w:rsid w:val="006252D8"/>
    <w:rsid w:val="006259BC"/>
    <w:rsid w:val="0062636B"/>
    <w:rsid w:val="00632182"/>
    <w:rsid w:val="00632AE0"/>
    <w:rsid w:val="00633C17"/>
    <w:rsid w:val="00634D9E"/>
    <w:rsid w:val="00636E3E"/>
    <w:rsid w:val="006379F7"/>
    <w:rsid w:val="00637E4D"/>
    <w:rsid w:val="00640620"/>
    <w:rsid w:val="00641A1F"/>
    <w:rsid w:val="00641BB0"/>
    <w:rsid w:val="00645904"/>
    <w:rsid w:val="00647F41"/>
    <w:rsid w:val="00651ACB"/>
    <w:rsid w:val="00651C47"/>
    <w:rsid w:val="00651D1B"/>
    <w:rsid w:val="00652AB2"/>
    <w:rsid w:val="00653CF4"/>
    <w:rsid w:val="00653FED"/>
    <w:rsid w:val="00654EC0"/>
    <w:rsid w:val="0065525B"/>
    <w:rsid w:val="00655D4F"/>
    <w:rsid w:val="00656D29"/>
    <w:rsid w:val="006640E5"/>
    <w:rsid w:val="006646F1"/>
    <w:rsid w:val="00664929"/>
    <w:rsid w:val="00664F62"/>
    <w:rsid w:val="006655E1"/>
    <w:rsid w:val="00672060"/>
    <w:rsid w:val="00672BFD"/>
    <w:rsid w:val="006770F4"/>
    <w:rsid w:val="00677646"/>
    <w:rsid w:val="00677A84"/>
    <w:rsid w:val="0068026D"/>
    <w:rsid w:val="00680A27"/>
    <w:rsid w:val="006816A4"/>
    <w:rsid w:val="006819B8"/>
    <w:rsid w:val="006840A6"/>
    <w:rsid w:val="006850CD"/>
    <w:rsid w:val="00685AAB"/>
    <w:rsid w:val="00695D22"/>
    <w:rsid w:val="00697527"/>
    <w:rsid w:val="00697B9E"/>
    <w:rsid w:val="006A07AA"/>
    <w:rsid w:val="006A25E5"/>
    <w:rsid w:val="006A2B46"/>
    <w:rsid w:val="006A336D"/>
    <w:rsid w:val="006A37B9"/>
    <w:rsid w:val="006A4A82"/>
    <w:rsid w:val="006A5AFF"/>
    <w:rsid w:val="006B135A"/>
    <w:rsid w:val="006B25A9"/>
    <w:rsid w:val="006B2672"/>
    <w:rsid w:val="006B54BF"/>
    <w:rsid w:val="006B5F44"/>
    <w:rsid w:val="006B5F90"/>
    <w:rsid w:val="006B62E4"/>
    <w:rsid w:val="006B7E01"/>
    <w:rsid w:val="006C04F7"/>
    <w:rsid w:val="006C1BBA"/>
    <w:rsid w:val="006C2079"/>
    <w:rsid w:val="006C48EF"/>
    <w:rsid w:val="006C5A62"/>
    <w:rsid w:val="006C5D68"/>
    <w:rsid w:val="006C6976"/>
    <w:rsid w:val="006C6DD0"/>
    <w:rsid w:val="006D04EA"/>
    <w:rsid w:val="006D0AB7"/>
    <w:rsid w:val="006D16C4"/>
    <w:rsid w:val="006D3E96"/>
    <w:rsid w:val="006D4515"/>
    <w:rsid w:val="006D4BB1"/>
    <w:rsid w:val="006D6593"/>
    <w:rsid w:val="006E23EA"/>
    <w:rsid w:val="006F03A8"/>
    <w:rsid w:val="006F0FFC"/>
    <w:rsid w:val="006F2ACA"/>
    <w:rsid w:val="006F2ADC"/>
    <w:rsid w:val="006F2BFE"/>
    <w:rsid w:val="006F31E9"/>
    <w:rsid w:val="006F6284"/>
    <w:rsid w:val="006F6E0F"/>
    <w:rsid w:val="007002C5"/>
    <w:rsid w:val="007011C5"/>
    <w:rsid w:val="00704387"/>
    <w:rsid w:val="007063DD"/>
    <w:rsid w:val="00707669"/>
    <w:rsid w:val="00707ED7"/>
    <w:rsid w:val="00711CBA"/>
    <w:rsid w:val="00711FB5"/>
    <w:rsid w:val="00712A01"/>
    <w:rsid w:val="00714115"/>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F87"/>
    <w:rsid w:val="007501A8"/>
    <w:rsid w:val="00750D61"/>
    <w:rsid w:val="00750EE1"/>
    <w:rsid w:val="00752B4D"/>
    <w:rsid w:val="00755402"/>
    <w:rsid w:val="00756B26"/>
    <w:rsid w:val="00756EDF"/>
    <w:rsid w:val="007600E3"/>
    <w:rsid w:val="00763820"/>
    <w:rsid w:val="00765C43"/>
    <w:rsid w:val="00765EFB"/>
    <w:rsid w:val="007671CA"/>
    <w:rsid w:val="00767C61"/>
    <w:rsid w:val="00767F1A"/>
    <w:rsid w:val="0077008A"/>
    <w:rsid w:val="00773C1F"/>
    <w:rsid w:val="00774B27"/>
    <w:rsid w:val="00774DA4"/>
    <w:rsid w:val="00775D75"/>
    <w:rsid w:val="00776599"/>
    <w:rsid w:val="0078114B"/>
    <w:rsid w:val="00781DD2"/>
    <w:rsid w:val="00783ECF"/>
    <w:rsid w:val="0078413A"/>
    <w:rsid w:val="00790201"/>
    <w:rsid w:val="007959E8"/>
    <w:rsid w:val="00795E9C"/>
    <w:rsid w:val="007A0521"/>
    <w:rsid w:val="007A2E12"/>
    <w:rsid w:val="007A3475"/>
    <w:rsid w:val="007A41C8"/>
    <w:rsid w:val="007A50A1"/>
    <w:rsid w:val="007A54CE"/>
    <w:rsid w:val="007A5689"/>
    <w:rsid w:val="007A6FD9"/>
    <w:rsid w:val="007A7FFA"/>
    <w:rsid w:val="007B04EB"/>
    <w:rsid w:val="007B0D4F"/>
    <w:rsid w:val="007B5A3D"/>
    <w:rsid w:val="007B5B95"/>
    <w:rsid w:val="007B68EA"/>
    <w:rsid w:val="007B7453"/>
    <w:rsid w:val="007C1E8B"/>
    <w:rsid w:val="007C2D89"/>
    <w:rsid w:val="007C4593"/>
    <w:rsid w:val="007C5309"/>
    <w:rsid w:val="007C5AE2"/>
    <w:rsid w:val="007C6069"/>
    <w:rsid w:val="007D06C4"/>
    <w:rsid w:val="007D1352"/>
    <w:rsid w:val="007D2508"/>
    <w:rsid w:val="007D346A"/>
    <w:rsid w:val="007D4323"/>
    <w:rsid w:val="007D6518"/>
    <w:rsid w:val="007D76BD"/>
    <w:rsid w:val="007D798F"/>
    <w:rsid w:val="007E0BF1"/>
    <w:rsid w:val="007F0ED8"/>
    <w:rsid w:val="007F0F63"/>
    <w:rsid w:val="007F29BD"/>
    <w:rsid w:val="007F360E"/>
    <w:rsid w:val="007F4093"/>
    <w:rsid w:val="007F52E4"/>
    <w:rsid w:val="007F75CE"/>
    <w:rsid w:val="008013A4"/>
    <w:rsid w:val="00802145"/>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5FC3"/>
    <w:rsid w:val="008269DD"/>
    <w:rsid w:val="008300B3"/>
    <w:rsid w:val="00830621"/>
    <w:rsid w:val="0083348C"/>
    <w:rsid w:val="00833A32"/>
    <w:rsid w:val="008373D3"/>
    <w:rsid w:val="00840617"/>
    <w:rsid w:val="00840A85"/>
    <w:rsid w:val="00840F84"/>
    <w:rsid w:val="00842A47"/>
    <w:rsid w:val="00843C13"/>
    <w:rsid w:val="00844A3D"/>
    <w:rsid w:val="008454F8"/>
    <w:rsid w:val="0085016E"/>
    <w:rsid w:val="0085173A"/>
    <w:rsid w:val="00856316"/>
    <w:rsid w:val="00860173"/>
    <w:rsid w:val="008603CE"/>
    <w:rsid w:val="008620FC"/>
    <w:rsid w:val="008627A5"/>
    <w:rsid w:val="00863E05"/>
    <w:rsid w:val="00865ACA"/>
    <w:rsid w:val="00865D28"/>
    <w:rsid w:val="00865F85"/>
    <w:rsid w:val="00867C10"/>
    <w:rsid w:val="00870439"/>
    <w:rsid w:val="00870DA1"/>
    <w:rsid w:val="00880345"/>
    <w:rsid w:val="00883F93"/>
    <w:rsid w:val="00884DB3"/>
    <w:rsid w:val="00885735"/>
    <w:rsid w:val="00885A9D"/>
    <w:rsid w:val="008864F6"/>
    <w:rsid w:val="0089049D"/>
    <w:rsid w:val="008928C9"/>
    <w:rsid w:val="008930CB"/>
    <w:rsid w:val="008938DC"/>
    <w:rsid w:val="00893FD1"/>
    <w:rsid w:val="00894836"/>
    <w:rsid w:val="00895172"/>
    <w:rsid w:val="00895680"/>
    <w:rsid w:val="00896DFF"/>
    <w:rsid w:val="0089762C"/>
    <w:rsid w:val="008A1497"/>
    <w:rsid w:val="008A1893"/>
    <w:rsid w:val="008A3215"/>
    <w:rsid w:val="008A57E6"/>
    <w:rsid w:val="008A5A99"/>
    <w:rsid w:val="008A6F81"/>
    <w:rsid w:val="008A6F8F"/>
    <w:rsid w:val="008A769A"/>
    <w:rsid w:val="008B0C9C"/>
    <w:rsid w:val="008B166D"/>
    <w:rsid w:val="008B17F4"/>
    <w:rsid w:val="008B3615"/>
    <w:rsid w:val="008B4AC4"/>
    <w:rsid w:val="008B50C8"/>
    <w:rsid w:val="008B5281"/>
    <w:rsid w:val="008B6DDE"/>
    <w:rsid w:val="008B7E05"/>
    <w:rsid w:val="008C1797"/>
    <w:rsid w:val="008C219C"/>
    <w:rsid w:val="008C475E"/>
    <w:rsid w:val="008C619A"/>
    <w:rsid w:val="008D0CE8"/>
    <w:rsid w:val="008D2570"/>
    <w:rsid w:val="008D2D1D"/>
    <w:rsid w:val="008D4439"/>
    <w:rsid w:val="008D453D"/>
    <w:rsid w:val="008D53AD"/>
    <w:rsid w:val="008D562B"/>
    <w:rsid w:val="008D5733"/>
    <w:rsid w:val="008D622B"/>
    <w:rsid w:val="008D666C"/>
    <w:rsid w:val="008D7B54"/>
    <w:rsid w:val="008E0B4E"/>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0127"/>
    <w:rsid w:val="00901880"/>
    <w:rsid w:val="00902722"/>
    <w:rsid w:val="009027BC"/>
    <w:rsid w:val="009062E6"/>
    <w:rsid w:val="00911BE5"/>
    <w:rsid w:val="00912871"/>
    <w:rsid w:val="00913700"/>
    <w:rsid w:val="00913CA9"/>
    <w:rsid w:val="009145AE"/>
    <w:rsid w:val="009146CE"/>
    <w:rsid w:val="00914CA7"/>
    <w:rsid w:val="00915C3E"/>
    <w:rsid w:val="009161A8"/>
    <w:rsid w:val="009210A3"/>
    <w:rsid w:val="0092436E"/>
    <w:rsid w:val="009245F5"/>
    <w:rsid w:val="009249EC"/>
    <w:rsid w:val="009273B3"/>
    <w:rsid w:val="009305B5"/>
    <w:rsid w:val="0093083C"/>
    <w:rsid w:val="0093470C"/>
    <w:rsid w:val="009429D5"/>
    <w:rsid w:val="00942BF1"/>
    <w:rsid w:val="00945180"/>
    <w:rsid w:val="00945428"/>
    <w:rsid w:val="00945490"/>
    <w:rsid w:val="0094607B"/>
    <w:rsid w:val="009532A1"/>
    <w:rsid w:val="009535EB"/>
    <w:rsid w:val="00953604"/>
    <w:rsid w:val="0095496B"/>
    <w:rsid w:val="00954CFE"/>
    <w:rsid w:val="009610DC"/>
    <w:rsid w:val="00961490"/>
    <w:rsid w:val="0096381A"/>
    <w:rsid w:val="00963926"/>
    <w:rsid w:val="00965E04"/>
    <w:rsid w:val="009674AD"/>
    <w:rsid w:val="00970CDC"/>
    <w:rsid w:val="009715CE"/>
    <w:rsid w:val="009762DB"/>
    <w:rsid w:val="00977010"/>
    <w:rsid w:val="00977D02"/>
    <w:rsid w:val="009809BB"/>
    <w:rsid w:val="0098364B"/>
    <w:rsid w:val="009848D2"/>
    <w:rsid w:val="009911AF"/>
    <w:rsid w:val="00991780"/>
    <w:rsid w:val="00991875"/>
    <w:rsid w:val="00991F92"/>
    <w:rsid w:val="00992446"/>
    <w:rsid w:val="00992985"/>
    <w:rsid w:val="00993889"/>
    <w:rsid w:val="0099551B"/>
    <w:rsid w:val="00996B90"/>
    <w:rsid w:val="00997BF1"/>
    <w:rsid w:val="009A089C"/>
    <w:rsid w:val="009A118E"/>
    <w:rsid w:val="009A21CD"/>
    <w:rsid w:val="009A278C"/>
    <w:rsid w:val="009A2BC2"/>
    <w:rsid w:val="009A42C1"/>
    <w:rsid w:val="009A5429"/>
    <w:rsid w:val="009A72AD"/>
    <w:rsid w:val="009B09E0"/>
    <w:rsid w:val="009B0BC5"/>
    <w:rsid w:val="009B0DBD"/>
    <w:rsid w:val="009B1247"/>
    <w:rsid w:val="009B46F9"/>
    <w:rsid w:val="009B6029"/>
    <w:rsid w:val="009B6971"/>
    <w:rsid w:val="009B7046"/>
    <w:rsid w:val="009C27F1"/>
    <w:rsid w:val="009C3152"/>
    <w:rsid w:val="009C4CFA"/>
    <w:rsid w:val="009C5070"/>
    <w:rsid w:val="009D112C"/>
    <w:rsid w:val="009D37D8"/>
    <w:rsid w:val="009D47FA"/>
    <w:rsid w:val="009D4C5B"/>
    <w:rsid w:val="009D50D2"/>
    <w:rsid w:val="009D569E"/>
    <w:rsid w:val="009D6BCA"/>
    <w:rsid w:val="009E0F62"/>
    <w:rsid w:val="009E1D52"/>
    <w:rsid w:val="009E4A58"/>
    <w:rsid w:val="009E5A2D"/>
    <w:rsid w:val="009E5AB2"/>
    <w:rsid w:val="009E6219"/>
    <w:rsid w:val="009F03B3"/>
    <w:rsid w:val="009F4B67"/>
    <w:rsid w:val="009F68D8"/>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35D"/>
    <w:rsid w:val="00A36DD1"/>
    <w:rsid w:val="00A4006C"/>
    <w:rsid w:val="00A40091"/>
    <w:rsid w:val="00A400D2"/>
    <w:rsid w:val="00A4030F"/>
    <w:rsid w:val="00A41C79"/>
    <w:rsid w:val="00A41CB5"/>
    <w:rsid w:val="00A42CDF"/>
    <w:rsid w:val="00A44491"/>
    <w:rsid w:val="00A4452E"/>
    <w:rsid w:val="00A4472C"/>
    <w:rsid w:val="00A44E69"/>
    <w:rsid w:val="00A45D5B"/>
    <w:rsid w:val="00A4661E"/>
    <w:rsid w:val="00A50DF9"/>
    <w:rsid w:val="00A533F9"/>
    <w:rsid w:val="00A55BD6"/>
    <w:rsid w:val="00A55D50"/>
    <w:rsid w:val="00A57142"/>
    <w:rsid w:val="00A648CD"/>
    <w:rsid w:val="00A6537A"/>
    <w:rsid w:val="00A67866"/>
    <w:rsid w:val="00A70B07"/>
    <w:rsid w:val="00A723F8"/>
    <w:rsid w:val="00A77CCB"/>
    <w:rsid w:val="00A8333D"/>
    <w:rsid w:val="00A83D8D"/>
    <w:rsid w:val="00A8446B"/>
    <w:rsid w:val="00A8473F"/>
    <w:rsid w:val="00A862D6"/>
    <w:rsid w:val="00A8715E"/>
    <w:rsid w:val="00A91FE0"/>
    <w:rsid w:val="00A9295B"/>
    <w:rsid w:val="00A93B09"/>
    <w:rsid w:val="00A94247"/>
    <w:rsid w:val="00A952D7"/>
    <w:rsid w:val="00A963F7"/>
    <w:rsid w:val="00A96AD8"/>
    <w:rsid w:val="00AA052C"/>
    <w:rsid w:val="00AA1E45"/>
    <w:rsid w:val="00AA4286"/>
    <w:rsid w:val="00AA456B"/>
    <w:rsid w:val="00AA4845"/>
    <w:rsid w:val="00AA57F5"/>
    <w:rsid w:val="00AA672E"/>
    <w:rsid w:val="00AA6EC9"/>
    <w:rsid w:val="00AB41D5"/>
    <w:rsid w:val="00AB6309"/>
    <w:rsid w:val="00AB6C5F"/>
    <w:rsid w:val="00AB7129"/>
    <w:rsid w:val="00AC27A6"/>
    <w:rsid w:val="00AC30F7"/>
    <w:rsid w:val="00AC3A5A"/>
    <w:rsid w:val="00AC4D95"/>
    <w:rsid w:val="00AC5DF4"/>
    <w:rsid w:val="00AD0AEF"/>
    <w:rsid w:val="00AD0BD3"/>
    <w:rsid w:val="00AD11B7"/>
    <w:rsid w:val="00AD1A94"/>
    <w:rsid w:val="00AD1C05"/>
    <w:rsid w:val="00AD4126"/>
    <w:rsid w:val="00AD421C"/>
    <w:rsid w:val="00AD44FA"/>
    <w:rsid w:val="00AD65D1"/>
    <w:rsid w:val="00AD7C12"/>
    <w:rsid w:val="00AE070A"/>
    <w:rsid w:val="00AE101C"/>
    <w:rsid w:val="00AE137D"/>
    <w:rsid w:val="00AE31A2"/>
    <w:rsid w:val="00AE37E5"/>
    <w:rsid w:val="00AE5EB4"/>
    <w:rsid w:val="00AF0C18"/>
    <w:rsid w:val="00AF47C5"/>
    <w:rsid w:val="00AF5398"/>
    <w:rsid w:val="00B031E4"/>
    <w:rsid w:val="00B049AF"/>
    <w:rsid w:val="00B07242"/>
    <w:rsid w:val="00B10534"/>
    <w:rsid w:val="00B113DB"/>
    <w:rsid w:val="00B11D8A"/>
    <w:rsid w:val="00B12981"/>
    <w:rsid w:val="00B147DD"/>
    <w:rsid w:val="00B156FD"/>
    <w:rsid w:val="00B21F61"/>
    <w:rsid w:val="00B23C80"/>
    <w:rsid w:val="00B244AF"/>
    <w:rsid w:val="00B261F1"/>
    <w:rsid w:val="00B265BC"/>
    <w:rsid w:val="00B305E2"/>
    <w:rsid w:val="00B31FB1"/>
    <w:rsid w:val="00B33952"/>
    <w:rsid w:val="00B33C5E"/>
    <w:rsid w:val="00B342F4"/>
    <w:rsid w:val="00B34369"/>
    <w:rsid w:val="00B34DC2"/>
    <w:rsid w:val="00B3610C"/>
    <w:rsid w:val="00B378E5"/>
    <w:rsid w:val="00B37A68"/>
    <w:rsid w:val="00B4346D"/>
    <w:rsid w:val="00B440F4"/>
    <w:rsid w:val="00B447A5"/>
    <w:rsid w:val="00B463D7"/>
    <w:rsid w:val="00B4654C"/>
    <w:rsid w:val="00B46AF0"/>
    <w:rsid w:val="00B47293"/>
    <w:rsid w:val="00B50E50"/>
    <w:rsid w:val="00B52120"/>
    <w:rsid w:val="00B5358C"/>
    <w:rsid w:val="00B54ABC"/>
    <w:rsid w:val="00B54DDE"/>
    <w:rsid w:val="00B56682"/>
    <w:rsid w:val="00B56F83"/>
    <w:rsid w:val="00B56FBE"/>
    <w:rsid w:val="00B575EA"/>
    <w:rsid w:val="00B603BB"/>
    <w:rsid w:val="00B60ACF"/>
    <w:rsid w:val="00B62A54"/>
    <w:rsid w:val="00B62B58"/>
    <w:rsid w:val="00B65149"/>
    <w:rsid w:val="00B66567"/>
    <w:rsid w:val="00B66CF4"/>
    <w:rsid w:val="00B66F52"/>
    <w:rsid w:val="00B66FE5"/>
    <w:rsid w:val="00B72880"/>
    <w:rsid w:val="00B758BF"/>
    <w:rsid w:val="00B77EC8"/>
    <w:rsid w:val="00B812F6"/>
    <w:rsid w:val="00B827A6"/>
    <w:rsid w:val="00B829D8"/>
    <w:rsid w:val="00B831CE"/>
    <w:rsid w:val="00B86677"/>
    <w:rsid w:val="00B87131"/>
    <w:rsid w:val="00B91571"/>
    <w:rsid w:val="00B939B1"/>
    <w:rsid w:val="00B95668"/>
    <w:rsid w:val="00B95DC4"/>
    <w:rsid w:val="00B96D40"/>
    <w:rsid w:val="00B97386"/>
    <w:rsid w:val="00B975E0"/>
    <w:rsid w:val="00BA263B"/>
    <w:rsid w:val="00BA42B2"/>
    <w:rsid w:val="00BA58D4"/>
    <w:rsid w:val="00BA5B9E"/>
    <w:rsid w:val="00BA7C9A"/>
    <w:rsid w:val="00BB203B"/>
    <w:rsid w:val="00BB2911"/>
    <w:rsid w:val="00BB3582"/>
    <w:rsid w:val="00BB4B2A"/>
    <w:rsid w:val="00BB5F8F"/>
    <w:rsid w:val="00BB657A"/>
    <w:rsid w:val="00BB65C0"/>
    <w:rsid w:val="00BC1A4E"/>
    <w:rsid w:val="00BC4790"/>
    <w:rsid w:val="00BC5DC7"/>
    <w:rsid w:val="00BC6B8B"/>
    <w:rsid w:val="00BC73D8"/>
    <w:rsid w:val="00BD316A"/>
    <w:rsid w:val="00BD52D7"/>
    <w:rsid w:val="00BD5AD2"/>
    <w:rsid w:val="00BD7000"/>
    <w:rsid w:val="00BE22F3"/>
    <w:rsid w:val="00BE58CC"/>
    <w:rsid w:val="00BE5B52"/>
    <w:rsid w:val="00BE7B8D"/>
    <w:rsid w:val="00BF0681"/>
    <w:rsid w:val="00BF0993"/>
    <w:rsid w:val="00BF10A9"/>
    <w:rsid w:val="00BF1703"/>
    <w:rsid w:val="00BF231C"/>
    <w:rsid w:val="00BF4765"/>
    <w:rsid w:val="00BF51E5"/>
    <w:rsid w:val="00BF74A6"/>
    <w:rsid w:val="00C009BF"/>
    <w:rsid w:val="00C013AD"/>
    <w:rsid w:val="00C03DFC"/>
    <w:rsid w:val="00C04904"/>
    <w:rsid w:val="00C056B3"/>
    <w:rsid w:val="00C103E5"/>
    <w:rsid w:val="00C13319"/>
    <w:rsid w:val="00C13EE9"/>
    <w:rsid w:val="00C21540"/>
    <w:rsid w:val="00C21906"/>
    <w:rsid w:val="00C21BFA"/>
    <w:rsid w:val="00C22148"/>
    <w:rsid w:val="00C23CBF"/>
    <w:rsid w:val="00C24C8D"/>
    <w:rsid w:val="00C25FE2"/>
    <w:rsid w:val="00C26B53"/>
    <w:rsid w:val="00C279B2"/>
    <w:rsid w:val="00C33E50"/>
    <w:rsid w:val="00C34C20"/>
    <w:rsid w:val="00C35A3E"/>
    <w:rsid w:val="00C374EA"/>
    <w:rsid w:val="00C42130"/>
    <w:rsid w:val="00C423A4"/>
    <w:rsid w:val="00C44BF5"/>
    <w:rsid w:val="00C504E9"/>
    <w:rsid w:val="00C513E5"/>
    <w:rsid w:val="00C521D6"/>
    <w:rsid w:val="00C55232"/>
    <w:rsid w:val="00C553A4"/>
    <w:rsid w:val="00C55A06"/>
    <w:rsid w:val="00C55D03"/>
    <w:rsid w:val="00C601BC"/>
    <w:rsid w:val="00C617DA"/>
    <w:rsid w:val="00C62293"/>
    <w:rsid w:val="00C6329F"/>
    <w:rsid w:val="00C63340"/>
    <w:rsid w:val="00C643F9"/>
    <w:rsid w:val="00C64E95"/>
    <w:rsid w:val="00C71372"/>
    <w:rsid w:val="00C72410"/>
    <w:rsid w:val="00C7287F"/>
    <w:rsid w:val="00C80CB8"/>
    <w:rsid w:val="00C819F8"/>
    <w:rsid w:val="00C8248C"/>
    <w:rsid w:val="00C84E33"/>
    <w:rsid w:val="00C86D6F"/>
    <w:rsid w:val="00C87AA6"/>
    <w:rsid w:val="00C905FC"/>
    <w:rsid w:val="00C91BC4"/>
    <w:rsid w:val="00C92D03"/>
    <w:rsid w:val="00C9319C"/>
    <w:rsid w:val="00C9435D"/>
    <w:rsid w:val="00C94DF2"/>
    <w:rsid w:val="00C96741"/>
    <w:rsid w:val="00CA2D1B"/>
    <w:rsid w:val="00CA375D"/>
    <w:rsid w:val="00CA662A"/>
    <w:rsid w:val="00CA757E"/>
    <w:rsid w:val="00CA7AFD"/>
    <w:rsid w:val="00CA7C3C"/>
    <w:rsid w:val="00CB0189"/>
    <w:rsid w:val="00CB0BA2"/>
    <w:rsid w:val="00CB1A42"/>
    <w:rsid w:val="00CB1B0C"/>
    <w:rsid w:val="00CB2C0B"/>
    <w:rsid w:val="00CB517D"/>
    <w:rsid w:val="00CC038D"/>
    <w:rsid w:val="00CC08DB"/>
    <w:rsid w:val="00CC2355"/>
    <w:rsid w:val="00CC39FF"/>
    <w:rsid w:val="00CC3C2F"/>
    <w:rsid w:val="00CC4AC8"/>
    <w:rsid w:val="00CC4AFB"/>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CF7DE0"/>
    <w:rsid w:val="00D008FD"/>
    <w:rsid w:val="00D0321C"/>
    <w:rsid w:val="00D035EC"/>
    <w:rsid w:val="00D041E4"/>
    <w:rsid w:val="00D06AB1"/>
    <w:rsid w:val="00D072ED"/>
    <w:rsid w:val="00D07A16"/>
    <w:rsid w:val="00D1067E"/>
    <w:rsid w:val="00D10F50"/>
    <w:rsid w:val="00D11272"/>
    <w:rsid w:val="00D126F5"/>
    <w:rsid w:val="00D1489E"/>
    <w:rsid w:val="00D20737"/>
    <w:rsid w:val="00D21E81"/>
    <w:rsid w:val="00D223DE"/>
    <w:rsid w:val="00D22716"/>
    <w:rsid w:val="00D25805"/>
    <w:rsid w:val="00D25E37"/>
    <w:rsid w:val="00D2661A"/>
    <w:rsid w:val="00D27582"/>
    <w:rsid w:val="00D27EC4"/>
    <w:rsid w:val="00D32719"/>
    <w:rsid w:val="00D33333"/>
    <w:rsid w:val="00D33457"/>
    <w:rsid w:val="00D352A2"/>
    <w:rsid w:val="00D3761C"/>
    <w:rsid w:val="00D4162B"/>
    <w:rsid w:val="00D4514F"/>
    <w:rsid w:val="00D451E2"/>
    <w:rsid w:val="00D45E89"/>
    <w:rsid w:val="00D45E8D"/>
    <w:rsid w:val="00D466AE"/>
    <w:rsid w:val="00D4734F"/>
    <w:rsid w:val="00D50785"/>
    <w:rsid w:val="00D51BF3"/>
    <w:rsid w:val="00D60113"/>
    <w:rsid w:val="00D66846"/>
    <w:rsid w:val="00D675FB"/>
    <w:rsid w:val="00D6788D"/>
    <w:rsid w:val="00D7178F"/>
    <w:rsid w:val="00D71F25"/>
    <w:rsid w:val="00D72A9C"/>
    <w:rsid w:val="00D77031"/>
    <w:rsid w:val="00D84941"/>
    <w:rsid w:val="00D84FA1"/>
    <w:rsid w:val="00D851F0"/>
    <w:rsid w:val="00D86DB7"/>
    <w:rsid w:val="00D8715B"/>
    <w:rsid w:val="00D903CC"/>
    <w:rsid w:val="00D926D0"/>
    <w:rsid w:val="00D93030"/>
    <w:rsid w:val="00D93A6D"/>
    <w:rsid w:val="00D941D8"/>
    <w:rsid w:val="00D950E1"/>
    <w:rsid w:val="00D952A6"/>
    <w:rsid w:val="00D9597F"/>
    <w:rsid w:val="00D9748D"/>
    <w:rsid w:val="00D97F99"/>
    <w:rsid w:val="00DA1E08"/>
    <w:rsid w:val="00DA24F8"/>
    <w:rsid w:val="00DA28E8"/>
    <w:rsid w:val="00DA38D3"/>
    <w:rsid w:val="00DA3932"/>
    <w:rsid w:val="00DA3AFC"/>
    <w:rsid w:val="00DA5191"/>
    <w:rsid w:val="00DA64F8"/>
    <w:rsid w:val="00DA6C15"/>
    <w:rsid w:val="00DB0258"/>
    <w:rsid w:val="00DB38EE"/>
    <w:rsid w:val="00DB447E"/>
    <w:rsid w:val="00DB498B"/>
    <w:rsid w:val="00DB66CA"/>
    <w:rsid w:val="00DB6BCA"/>
    <w:rsid w:val="00DB72B3"/>
    <w:rsid w:val="00DB73F7"/>
    <w:rsid w:val="00DC0321"/>
    <w:rsid w:val="00DC0DA3"/>
    <w:rsid w:val="00DC3067"/>
    <w:rsid w:val="00DC370B"/>
    <w:rsid w:val="00DC57C4"/>
    <w:rsid w:val="00DC5B90"/>
    <w:rsid w:val="00DD00FF"/>
    <w:rsid w:val="00DD0619"/>
    <w:rsid w:val="00DD07FB"/>
    <w:rsid w:val="00DD25C6"/>
    <w:rsid w:val="00DD4FE5"/>
    <w:rsid w:val="00DD54B0"/>
    <w:rsid w:val="00DD57EE"/>
    <w:rsid w:val="00DD6BCC"/>
    <w:rsid w:val="00DE0A4B"/>
    <w:rsid w:val="00DE2410"/>
    <w:rsid w:val="00DE2939"/>
    <w:rsid w:val="00DE2A1F"/>
    <w:rsid w:val="00DE6E81"/>
    <w:rsid w:val="00DE703F"/>
    <w:rsid w:val="00DE7595"/>
    <w:rsid w:val="00DF01D0"/>
    <w:rsid w:val="00DF1961"/>
    <w:rsid w:val="00DF1F1B"/>
    <w:rsid w:val="00DF44DE"/>
    <w:rsid w:val="00DF5F11"/>
    <w:rsid w:val="00E01138"/>
    <w:rsid w:val="00E02DFB"/>
    <w:rsid w:val="00E030F9"/>
    <w:rsid w:val="00E0311A"/>
    <w:rsid w:val="00E03138"/>
    <w:rsid w:val="00E03D68"/>
    <w:rsid w:val="00E06404"/>
    <w:rsid w:val="00E065D2"/>
    <w:rsid w:val="00E11A85"/>
    <w:rsid w:val="00E1221E"/>
    <w:rsid w:val="00E12495"/>
    <w:rsid w:val="00E12D4E"/>
    <w:rsid w:val="00E15CCD"/>
    <w:rsid w:val="00E202EF"/>
    <w:rsid w:val="00E203B0"/>
    <w:rsid w:val="00E210B5"/>
    <w:rsid w:val="00E23D99"/>
    <w:rsid w:val="00E2552F"/>
    <w:rsid w:val="00E3137A"/>
    <w:rsid w:val="00E32CCF"/>
    <w:rsid w:val="00E34A98"/>
    <w:rsid w:val="00E35D1E"/>
    <w:rsid w:val="00E364F9"/>
    <w:rsid w:val="00E365FA"/>
    <w:rsid w:val="00E36789"/>
    <w:rsid w:val="00E44A83"/>
    <w:rsid w:val="00E45B82"/>
    <w:rsid w:val="00E502C1"/>
    <w:rsid w:val="00E502DD"/>
    <w:rsid w:val="00E507BD"/>
    <w:rsid w:val="00E50D3A"/>
    <w:rsid w:val="00E51387"/>
    <w:rsid w:val="00E51E68"/>
    <w:rsid w:val="00E52EFD"/>
    <w:rsid w:val="00E5408A"/>
    <w:rsid w:val="00E56800"/>
    <w:rsid w:val="00E60C63"/>
    <w:rsid w:val="00E62FF9"/>
    <w:rsid w:val="00E635D6"/>
    <w:rsid w:val="00E639BC"/>
    <w:rsid w:val="00E65A49"/>
    <w:rsid w:val="00E664CC"/>
    <w:rsid w:val="00E70388"/>
    <w:rsid w:val="00E70F92"/>
    <w:rsid w:val="00E74C54"/>
    <w:rsid w:val="00E77A03"/>
    <w:rsid w:val="00E81EE3"/>
    <w:rsid w:val="00E822E8"/>
    <w:rsid w:val="00E82554"/>
    <w:rsid w:val="00E82606"/>
    <w:rsid w:val="00E846C8"/>
    <w:rsid w:val="00E84957"/>
    <w:rsid w:val="00E84A55"/>
    <w:rsid w:val="00E85BFF"/>
    <w:rsid w:val="00E85EB0"/>
    <w:rsid w:val="00E90391"/>
    <w:rsid w:val="00E906C2"/>
    <w:rsid w:val="00E9311F"/>
    <w:rsid w:val="00E934D1"/>
    <w:rsid w:val="00E94AF0"/>
    <w:rsid w:val="00E95D13"/>
    <w:rsid w:val="00E95DB7"/>
    <w:rsid w:val="00E95DD3"/>
    <w:rsid w:val="00E969D5"/>
    <w:rsid w:val="00E97DB0"/>
    <w:rsid w:val="00EA1240"/>
    <w:rsid w:val="00EA58D1"/>
    <w:rsid w:val="00EA61BC"/>
    <w:rsid w:val="00EA681A"/>
    <w:rsid w:val="00EA735B"/>
    <w:rsid w:val="00EB17DE"/>
    <w:rsid w:val="00EB1E69"/>
    <w:rsid w:val="00EB2086"/>
    <w:rsid w:val="00EB3F4B"/>
    <w:rsid w:val="00EB5C82"/>
    <w:rsid w:val="00EB5EDF"/>
    <w:rsid w:val="00EB60FE"/>
    <w:rsid w:val="00EB74DB"/>
    <w:rsid w:val="00EC5359"/>
    <w:rsid w:val="00EC562A"/>
    <w:rsid w:val="00ED01C7"/>
    <w:rsid w:val="00ED066B"/>
    <w:rsid w:val="00ED067A"/>
    <w:rsid w:val="00ED25D1"/>
    <w:rsid w:val="00ED2B50"/>
    <w:rsid w:val="00EE0350"/>
    <w:rsid w:val="00EE0719"/>
    <w:rsid w:val="00EE0E80"/>
    <w:rsid w:val="00EE54A6"/>
    <w:rsid w:val="00EE613F"/>
    <w:rsid w:val="00EE7295"/>
    <w:rsid w:val="00EE7869"/>
    <w:rsid w:val="00EF02D1"/>
    <w:rsid w:val="00EF054A"/>
    <w:rsid w:val="00EF3235"/>
    <w:rsid w:val="00EF76EA"/>
    <w:rsid w:val="00EF7E72"/>
    <w:rsid w:val="00F0270B"/>
    <w:rsid w:val="00F05EF1"/>
    <w:rsid w:val="00F06C0D"/>
    <w:rsid w:val="00F06D37"/>
    <w:rsid w:val="00F07B9D"/>
    <w:rsid w:val="00F11586"/>
    <w:rsid w:val="00F1183B"/>
    <w:rsid w:val="00F11C9F"/>
    <w:rsid w:val="00F12263"/>
    <w:rsid w:val="00F1409D"/>
    <w:rsid w:val="00F14214"/>
    <w:rsid w:val="00F157A9"/>
    <w:rsid w:val="00F17B78"/>
    <w:rsid w:val="00F205A1"/>
    <w:rsid w:val="00F21AE2"/>
    <w:rsid w:val="00F2557E"/>
    <w:rsid w:val="00F25BB6"/>
    <w:rsid w:val="00F26B7E"/>
    <w:rsid w:val="00F27A3B"/>
    <w:rsid w:val="00F30FCB"/>
    <w:rsid w:val="00F33817"/>
    <w:rsid w:val="00F3387E"/>
    <w:rsid w:val="00F349DF"/>
    <w:rsid w:val="00F3709E"/>
    <w:rsid w:val="00F420D5"/>
    <w:rsid w:val="00F42DF7"/>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0373"/>
    <w:rsid w:val="00F71E22"/>
    <w:rsid w:val="00F72142"/>
    <w:rsid w:val="00F72AE7"/>
    <w:rsid w:val="00F73FFF"/>
    <w:rsid w:val="00F7581A"/>
    <w:rsid w:val="00F81141"/>
    <w:rsid w:val="00F833BA"/>
    <w:rsid w:val="00F84FD0"/>
    <w:rsid w:val="00F859A8"/>
    <w:rsid w:val="00F86D87"/>
    <w:rsid w:val="00F9108B"/>
    <w:rsid w:val="00F91349"/>
    <w:rsid w:val="00F93A8A"/>
    <w:rsid w:val="00F93DB7"/>
    <w:rsid w:val="00F95248"/>
    <w:rsid w:val="00F956A9"/>
    <w:rsid w:val="00F963ED"/>
    <w:rsid w:val="00F966CF"/>
    <w:rsid w:val="00F96CAE"/>
    <w:rsid w:val="00F97C99"/>
    <w:rsid w:val="00FA2D81"/>
    <w:rsid w:val="00FA36DD"/>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1F0C"/>
    <w:rsid w:val="00FF3E7D"/>
    <w:rsid w:val="00FF5B99"/>
    <w:rsid w:val="00FF6040"/>
    <w:rsid w:val="00FF7233"/>
    <w:rsid w:val="00FF730C"/>
    <w:rsid w:val="00FF73F4"/>
    <w:rsid w:val="00FF7CE4"/>
    <w:rsid w:val="00FF7E39"/>
    <w:rsid w:val="080340BB"/>
    <w:rsid w:val="13720483"/>
    <w:rsid w:val="2E65302C"/>
    <w:rsid w:val="4C6236C3"/>
    <w:rsid w:val="E2EC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0.jpeg"/><Relationship Id="rId21" Type="http://schemas.openxmlformats.org/officeDocument/2006/relationships/image" Target="media/image9.jpeg"/><Relationship Id="rId20" Type="http://schemas.openxmlformats.org/officeDocument/2006/relationships/image" Target="media/image8.jpeg"/><Relationship Id="rId2" Type="http://schemas.openxmlformats.org/officeDocument/2006/relationships/settings" Target="settings.xml"/><Relationship Id="rId19" Type="http://schemas.openxmlformats.org/officeDocument/2006/relationships/image" Target="media/image7.jpeg"/><Relationship Id="rId18" Type="http://schemas.openxmlformats.org/officeDocument/2006/relationships/image" Target="media/image6.jpeg"/><Relationship Id="rId17" Type="http://schemas.openxmlformats.org/officeDocument/2006/relationships/image" Target="media/image5.jpeg"/><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6EBB74108DA4A809DBB81848EFC11AD"/>
        <w:style w:val=""/>
        <w:category>
          <w:name w:val="常规"/>
          <w:gallery w:val="placeholder"/>
        </w:category>
        <w:types>
          <w:type w:val="bbPlcHdr"/>
        </w:types>
        <w:behaviors>
          <w:behavior w:val="content"/>
        </w:behaviors>
        <w:description w:val=""/>
        <w:guid w:val="{30AF94D4-A15A-4942-96DC-30EA9FBE6E72}"/>
      </w:docPartPr>
      <w:docPartBody>
        <w:p>
          <w:pPr>
            <w:pStyle w:val="5"/>
          </w:pPr>
          <w:r>
            <w:rPr>
              <w:rStyle w:val="4"/>
              <w:rFonts w:hint="eastAsia"/>
            </w:rPr>
            <w:t>单击或点击此处输入文字。</w:t>
          </w:r>
        </w:p>
      </w:docPartBody>
    </w:docPart>
    <w:docPart>
      <w:docPartPr>
        <w:name w:val="F28C475969A045A0859DAE53A94A3BCC"/>
        <w:style w:val=""/>
        <w:category>
          <w:name w:val="常规"/>
          <w:gallery w:val="placeholder"/>
        </w:category>
        <w:types>
          <w:type w:val="bbPlcHdr"/>
        </w:types>
        <w:behaviors>
          <w:behavior w:val="content"/>
        </w:behaviors>
        <w:description w:val=""/>
        <w:guid w:val="{CEB84C75-307C-4C6C-A9F1-7312210CC5E2}"/>
      </w:docPartPr>
      <w:docPartBody>
        <w:p>
          <w:pPr>
            <w:pStyle w:val="6"/>
          </w:pPr>
          <w:r>
            <w:rPr>
              <w:rStyle w:val="4"/>
              <w:rFonts w:hint="eastAsia"/>
            </w:rPr>
            <w:t>选择一项。</w:t>
          </w:r>
        </w:p>
      </w:docPartBody>
    </w:docPart>
    <w:docPart>
      <w:docPartPr>
        <w:name w:val="227777D746D4417DB703296CE8B369AE"/>
        <w:style w:val=""/>
        <w:category>
          <w:name w:val="常规"/>
          <w:gallery w:val="placeholder"/>
        </w:category>
        <w:types>
          <w:type w:val="bbPlcHdr"/>
        </w:types>
        <w:behaviors>
          <w:behavior w:val="content"/>
        </w:behaviors>
        <w:description w:val=""/>
        <w:guid w:val="{709B8739-1DD3-40D9-8992-4E74A77E8E9E}"/>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064"/>
    <w:rsid w:val="00054661"/>
    <w:rsid w:val="000B6703"/>
    <w:rsid w:val="00134073"/>
    <w:rsid w:val="001E6274"/>
    <w:rsid w:val="004A0E24"/>
    <w:rsid w:val="00632210"/>
    <w:rsid w:val="00633916"/>
    <w:rsid w:val="006D2585"/>
    <w:rsid w:val="006E0064"/>
    <w:rsid w:val="008E1BFB"/>
    <w:rsid w:val="00AA635E"/>
    <w:rsid w:val="00C107FF"/>
    <w:rsid w:val="00E07563"/>
    <w:rsid w:val="00E22E97"/>
    <w:rsid w:val="00EC4868"/>
    <w:rsid w:val="00F56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6EBB74108DA4A809DBB81848EFC11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28C475969A045A0859DAE53A94A3BC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27777D746D4417DB703296CE8B369A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24</Pages>
  <Words>9425</Words>
  <Characters>9947</Characters>
  <Lines>83</Lines>
  <Paragraphs>23</Paragraphs>
  <TotalTime>70</TotalTime>
  <ScaleCrop>false</ScaleCrop>
  <LinksUpToDate>false</LinksUpToDate>
  <CharactersWithSpaces>10558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2022-11-15T11:28:00Z</dcterms:created>
  <dc:creator>8</dc:creator>
  <dc:description>&lt;config cover="true" show_menu="true" version="1.0.0" doctype="SDKXY"&gt;_x000d_
&lt;/config&gt;</dc:description>
  <cp:lastModifiedBy>Administrator</cp:lastModifiedBy>
  <cp:lastPrinted>2020-08-30T18:00:00Z</cp:lastPrinted>
  <dcterms:modified xsi:type="dcterms:W3CDTF">2024-06-06T07:18:38Z</dcterms:modified>
  <dc:title>地方标准</dc:title>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B51EA88C4425455B8E57403C0585EB94_13</vt:lpwstr>
  </property>
</Properties>
</file>