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258"/>
        <w:gridCol w:w="266"/>
        <w:gridCol w:w="271"/>
        <w:gridCol w:w="59"/>
        <w:gridCol w:w="963"/>
        <w:gridCol w:w="48"/>
        <w:gridCol w:w="852"/>
        <w:gridCol w:w="658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鄂州市机关事务服务中心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公物仓资产管理经费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1、三定方案中心职能职责；2、《劳务派遣协议》；3、《鄂州市党政机关办公用房管理信息系统维护合同书》；4、《鄂州市公物仓管理信息系统维护合同书》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67.3万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以服务对象满意为目标，根据《鄂州市市级政府公物仓库管理暂行办法》，制定完善物资（物品）进出调配审批流程制度，配合规范的信息管理平台，全面加强固定资产管理。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以服务对象满意为目标，根据《鄂州市市级政府公物仓库管理暂行办法》，制定完善物资（物品）进出调配审批流程制度，配合规范的信息管理平台，全面加强固定资产管理。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公物仓货物维护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50次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搬运记录、维修记录、库管工作记录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劳务派遣服务人员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3人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劳务派遣人员合同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投诉率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≤10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项目按计划开工率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公物仓正常运转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年度维护成本增长率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5%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服务人员逐年增加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提高资产使用效益，实现资源优化配置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节约财政采购资金逐年增加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维护国有资产的安全和完整性作用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国有资产持续保值增值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推进节约型机关建设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效果显著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23" w:type="dxa"/>
            <w:gridSpan w:val="6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机关单位满意度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公物仓货物维护　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  <w:t>42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  <w:t>46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  <w:t>50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搬运记录、维修记录、库管工作记录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劳务派遣服务人员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劳务派遣人员合同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投诉率　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项目按计划开工率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公物仓正常运转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年度维护成本增长率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5%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5%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服务人员逐年增加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提高资产使用效益，实现资源优化配置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效果显著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效果显著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效果显著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节约财政采购资金逐年增加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维护国有资产的安全和完整性作用　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国有资产持续保值增值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推进节约型机关建设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效果显著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效果显著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效果显著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节约财政采购资金逐年增加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机关单位满意度　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</w:rPr>
              <w:t>　</w:t>
            </w: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</w:rPr>
              <w:t>　</w:t>
            </w: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服务对象均表示满意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</w:rPr>
              <w:t>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</w:rPr>
              <w:t>　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27479BEA"/>
    <w:rsid w:val="2D7DEE7F"/>
    <w:rsid w:val="39CD4007"/>
    <w:rsid w:val="39DD0371"/>
    <w:rsid w:val="4D1FCF04"/>
    <w:rsid w:val="62E502C3"/>
    <w:rsid w:val="6B5A3C3A"/>
    <w:rsid w:val="77BD5D5D"/>
    <w:rsid w:val="7F36F882"/>
    <w:rsid w:val="7FAEF285"/>
    <w:rsid w:val="7FFB756A"/>
    <w:rsid w:val="9FE7AB60"/>
    <w:rsid w:val="AB5F6BCC"/>
    <w:rsid w:val="B7F640DA"/>
    <w:rsid w:val="CDEF96CD"/>
    <w:rsid w:val="E3FD93BB"/>
    <w:rsid w:val="EFEDF912"/>
    <w:rsid w:val="FBBDB1EF"/>
    <w:rsid w:val="FDFB368F"/>
    <w:rsid w:val="FFD7FBDF"/>
    <w:rsid w:val="FF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2023-11-09T02:12:00Z</dcterms:created>
  <dc:creator>叶贝</dc:creator>
  <cp:lastModifiedBy>inspur</cp:lastModifiedBy>
  <dcterms:modified xsi:type="dcterms:W3CDTF">2023-11-10T08:56:38Z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58246E038A894A6580A1DBF854195D43_11</vt:lpwstr>
  </property>
</Properties>
</file>