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3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258"/>
        <w:gridCol w:w="266"/>
        <w:gridCol w:w="271"/>
        <w:gridCol w:w="59"/>
        <w:gridCol w:w="813"/>
        <w:gridCol w:w="198"/>
        <w:gridCol w:w="807"/>
        <w:gridCol w:w="703"/>
        <w:gridCol w:w="28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市直机关公务用车运行监管和保障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1、三定方案中心职能职责；2、关于印发《鄂州市市级党政机关公务用车实行统一管理实施方案》的通知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3、湖北省党政机关公务用车管理办法；4、党组会议纪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/>
              </w:rPr>
              <w:t>5、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鄂州市公车运行信息化平台项目建设及服务协议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default" w:ascii="仿宋_GB2312" w:hAnsi="宋体" w:eastAsia="仿宋_GB2312" w:cs="仿宋_GB2312"/>
                <w:kern w:val="0"/>
                <w:lang w:val="e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运营维护好市直党政机关公务用车信息化平台，保障全市有关单位执勤执法及应急公务用车。建立完善相关工作制度，按照政策规定要求，为我市市直机关执勤执法及应急公务用车提供安全及时的保障服务。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221" w:type="dxa"/>
            <w:gridSpan w:val="13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合理使用公务用车运行保障经费，保障全市有关单位执勤执法及应急公务用车。建立完善相关工作制度，按照政策规定要求，做好我市市直机关执勤执法及应急公务用车提供车辆的保障工作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保障车辆数量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≤241辆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《鄂州市市级党政机关公务用车实行统一管理实施方案》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、《关于市级党政公务用车无偿调配的函》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纳入平台服务的行政事业单位数量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240家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《鄂州市公车运行信息化平台项目建设及服务协议》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执勤执法及应急公务用车保障率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《关于市级党政机关公务用车管理和运行保障中心车辆运行有关事项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的通知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》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公车平台系统故障修复处理时间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≤1小时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行业内部约定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公务用车信息化平台正常运转率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《鄂州市公车运行信息化平台项目建设及服务协议》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7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公务车利用率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《关于市级党政机关公务用车管理和运行保障中心车辆运行有关事项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的通知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673" w:type="dxa"/>
            <w:gridSpan w:val="6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/>
              </w:rPr>
              <w:t>《市级党政机关统一管理车辆驾驶员服务情况调查问卷</w:t>
            </w:r>
            <w:r>
              <w:rPr>
                <w:rFonts w:hint="eastAsia" w:ascii="仿宋_GB2312" w:hAnsi="宋体" w:eastAsia="仿宋_GB2312" w:cs="仿宋_GB2312"/>
                <w:kern w:val="0"/>
                <w:lang w:val="en" w:eastAsia="zh-CN"/>
              </w:rPr>
              <w:t>表</w:t>
            </w:r>
            <w:r>
              <w:rPr>
                <w:rFonts w:hint="default" w:ascii="仿宋_GB2312" w:hAnsi="宋体" w:eastAsia="仿宋_GB2312" w:cs="仿宋_GB2312"/>
                <w:kern w:val="0"/>
                <w:lang w:val="en"/>
              </w:rPr>
              <w:t>》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80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预计当年实现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保障车辆数量　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《鄂州市市级党政机关公务用车实行统一管理实施方案》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、《关于市级党政公务用车无偿调配的函》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纳入平台服务的行政事业单位数量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《鄂州市公车运行信息化平台项目建设及服务协议》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执勤执法及应急公务用车保障率　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《关于市级党政机关公务用车管理和运行保障中心车辆运行有关事项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的通知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公车平台系统故障修复处理时间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0.5小时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0.5小时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0.5小时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行业内部约定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公务用车信息化平台正常运转率　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99%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《鄂州市公车运行信息化平台项目建设及服务协议》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公务车利用率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《关于市级党政机关公务用车管理和运行保障中心车辆运行有关事项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的通知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93%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94%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96%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color w:val="000000" w:themeColor="text1"/>
                <w:kern w:val="0"/>
                <w:lang w:val="en"/>
                <w14:textFill>
                  <w14:solidFill>
                    <w14:schemeClr w14:val="tx1"/>
                  </w14:solidFill>
                </w14:textFill>
              </w:rPr>
              <w:t>《市级党政机关统一管理车辆驾驶员服务情况调查问卷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仿宋_GB2312" w:hAnsi="宋体" w:eastAsia="仿宋_GB2312" w:cs="仿宋_GB2312"/>
                <w:color w:val="000000" w:themeColor="text1"/>
                <w:kern w:val="0"/>
                <w:lang w:val="e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59F5B54"/>
    <w:rsid w:val="1AB03212"/>
    <w:rsid w:val="27479BEA"/>
    <w:rsid w:val="2D7DEE7F"/>
    <w:rsid w:val="39CD4007"/>
    <w:rsid w:val="39DD0371"/>
    <w:rsid w:val="3FD783E5"/>
    <w:rsid w:val="4D1FCF04"/>
    <w:rsid w:val="55E47EFC"/>
    <w:rsid w:val="5BD9CC36"/>
    <w:rsid w:val="5F55C6FC"/>
    <w:rsid w:val="5FB7C04D"/>
    <w:rsid w:val="62E502C3"/>
    <w:rsid w:val="63ADEA47"/>
    <w:rsid w:val="6B5A3C3A"/>
    <w:rsid w:val="6FFD7783"/>
    <w:rsid w:val="72FFE9B7"/>
    <w:rsid w:val="75E70267"/>
    <w:rsid w:val="77BD5D5D"/>
    <w:rsid w:val="7BEF09A0"/>
    <w:rsid w:val="7CBF47B2"/>
    <w:rsid w:val="7F36F882"/>
    <w:rsid w:val="7FAEF285"/>
    <w:rsid w:val="7FF7934F"/>
    <w:rsid w:val="7FFB756A"/>
    <w:rsid w:val="9F5F0F59"/>
    <w:rsid w:val="9FE7AB60"/>
    <w:rsid w:val="AB5F6BCC"/>
    <w:rsid w:val="B7FF3CA7"/>
    <w:rsid w:val="BD7B0CE1"/>
    <w:rsid w:val="BFDF4F68"/>
    <w:rsid w:val="D5D6F137"/>
    <w:rsid w:val="DBDFDBB0"/>
    <w:rsid w:val="DFD6221B"/>
    <w:rsid w:val="E3FD93BB"/>
    <w:rsid w:val="EFBF1186"/>
    <w:rsid w:val="F7DFF2CB"/>
    <w:rsid w:val="FBBDB1EF"/>
    <w:rsid w:val="FE4B3CCE"/>
    <w:rsid w:val="FFD7FBDF"/>
    <w:rsid w:val="FFDF255D"/>
    <w:rsid w:val="FFE97E29"/>
    <w:rsid w:val="FF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Autospacing="0" w:afterAutospacing="0" w:line="600" w:lineRule="exact"/>
      <w:ind w:firstLine="880" w:firstLineChars="200"/>
      <w:outlineLvl w:val="2"/>
    </w:pPr>
    <w:rPr>
      <w:rFonts w:eastAsia="楷体_GB2312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2023-11-09T10:12:00Z</dcterms:created>
  <dc:creator>叶贝</dc:creator>
  <cp:lastModifiedBy>inspur</cp:lastModifiedBy>
  <cp:lastPrinted>2023-11-09T14:49:18Z</cp:lastPrinted>
  <dcterms:modified xsi:type="dcterms:W3CDTF">2023-11-09T14:51:37Z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58246E038A894A6580A1DBF854195D43_11</vt:lpwstr>
  </property>
</Properties>
</file>